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numPr>
          <w:ilvl w:val="0"/>
          <w:numId w:val="1"/>
        </w:numPr>
        <w:ind w:firstLineChars="0"/>
        <w:rPr>
          <w:rFonts w:ascii="宋体" w:hAnsi="宋体" w:eastAsia="宋体"/>
          <w:b/>
          <w:sz w:val="22"/>
          <w:szCs w:val="22"/>
        </w:rPr>
      </w:pPr>
      <w:r>
        <w:rPr>
          <w:rFonts w:hint="eastAsia" w:ascii="宋体" w:hAnsi="宋体" w:eastAsia="宋体"/>
          <w:b/>
          <w:sz w:val="22"/>
          <w:szCs w:val="22"/>
        </w:rPr>
        <w:t>总则</w:t>
      </w:r>
    </w:p>
    <w:p>
      <w:pPr>
        <w:numPr>
          <w:ilvl w:val="0"/>
          <w:numId w:val="2"/>
        </w:numPr>
        <w:spacing w:line="0" w:lineRule="atLeast"/>
        <w:jc w:val="left"/>
        <w:rPr>
          <w:rFonts w:ascii="宋体" w:hAnsi="宋体" w:eastAsia="宋体" w:cs="Times New Roman"/>
          <w:sz w:val="22"/>
          <w:szCs w:val="22"/>
        </w:rPr>
      </w:pPr>
      <w:r>
        <w:rPr>
          <w:rFonts w:hint="eastAsia" w:ascii="宋体" w:hAnsi="宋体" w:eastAsia="宋体" w:cs="Times New Roman"/>
          <w:sz w:val="22"/>
          <w:szCs w:val="22"/>
        </w:rPr>
        <w:t>本技术要求的目的不是要限制该设备的设计和开发。但附加的技术要求须严格遵守，除非有足够的理由书面通知放弃。</w:t>
      </w:r>
    </w:p>
    <w:p>
      <w:pPr>
        <w:pStyle w:val="11"/>
        <w:numPr>
          <w:ilvl w:val="0"/>
          <w:numId w:val="2"/>
        </w:numPr>
        <w:spacing w:line="0" w:lineRule="atLeast"/>
        <w:ind w:firstLineChars="0"/>
        <w:jc w:val="left"/>
        <w:rPr>
          <w:rFonts w:ascii="宋体" w:hAnsi="宋体" w:eastAsia="宋体"/>
          <w:sz w:val="22"/>
          <w:szCs w:val="22"/>
        </w:rPr>
      </w:pPr>
      <w:r>
        <w:rPr>
          <w:rFonts w:hint="eastAsia" w:ascii="宋体" w:hAnsi="宋体" w:eastAsia="宋体"/>
          <w:sz w:val="22"/>
          <w:szCs w:val="22"/>
        </w:rPr>
        <w:t>本次采购设备的目的是获得精度高、重复性和稳定性好、故障率低及售后服务良好的</w:t>
      </w:r>
      <w:r>
        <w:rPr>
          <w:rFonts w:hint="eastAsia" w:ascii="宋体" w:hAnsi="宋体" w:eastAsia="宋体"/>
          <w:b w:val="0"/>
          <w:bCs/>
          <w:sz w:val="22"/>
          <w:szCs w:val="22"/>
          <w:u w:val="single"/>
          <w:lang w:val="en-US" w:eastAsia="zh-CN"/>
        </w:rPr>
        <w:t>整车淋雨房设备</w:t>
      </w:r>
      <w:r>
        <w:rPr>
          <w:rFonts w:hint="eastAsia" w:ascii="宋体" w:hAnsi="宋体" w:eastAsia="宋体"/>
          <w:sz w:val="22"/>
          <w:szCs w:val="22"/>
        </w:rPr>
        <w:t>，在使用中能始终保持精度要求，以便赢得我们未来客户的信赖和市场。</w:t>
      </w:r>
    </w:p>
    <w:p>
      <w:pPr>
        <w:numPr>
          <w:ilvl w:val="0"/>
          <w:numId w:val="2"/>
        </w:numPr>
        <w:spacing w:line="0" w:lineRule="atLeast"/>
        <w:jc w:val="left"/>
        <w:rPr>
          <w:rFonts w:ascii="宋体" w:hAnsi="宋体" w:eastAsia="宋体"/>
          <w:sz w:val="22"/>
          <w:szCs w:val="22"/>
        </w:rPr>
      </w:pPr>
      <w:r>
        <w:rPr>
          <w:rFonts w:hint="eastAsia" w:ascii="宋体" w:hAnsi="宋体" w:eastAsia="宋体"/>
          <w:sz w:val="22"/>
          <w:szCs w:val="22"/>
        </w:rPr>
        <w:t>供应商提供设备及备件的（包括但不限于）：电气和机械系统图纸，图纸与发送的设备相一致。供应商、制造商或其零部件供应商不得以“专利信息”为借口隐瞒任何信息。</w:t>
      </w:r>
    </w:p>
    <w:p>
      <w:pPr>
        <w:numPr>
          <w:ilvl w:val="0"/>
          <w:numId w:val="2"/>
        </w:numPr>
        <w:spacing w:line="0" w:lineRule="atLeast"/>
        <w:jc w:val="left"/>
        <w:rPr>
          <w:rFonts w:ascii="宋体" w:hAnsi="宋体" w:eastAsia="宋体"/>
          <w:sz w:val="22"/>
          <w:szCs w:val="22"/>
        </w:rPr>
      </w:pPr>
      <w:r>
        <w:rPr>
          <w:rFonts w:hint="eastAsia" w:ascii="宋体" w:hAnsi="宋体" w:eastAsia="宋体"/>
          <w:sz w:val="22"/>
          <w:szCs w:val="22"/>
        </w:rPr>
        <w:t>供应商需指定一名专门的项目管理人员，负责联系和协调整个项目进程。</w:t>
      </w:r>
    </w:p>
    <w:p>
      <w:pPr>
        <w:numPr>
          <w:ilvl w:val="0"/>
          <w:numId w:val="2"/>
        </w:numPr>
        <w:spacing w:line="0" w:lineRule="atLeast"/>
        <w:jc w:val="left"/>
        <w:rPr>
          <w:rFonts w:ascii="宋体" w:hAnsi="宋体" w:eastAsia="宋体"/>
          <w:sz w:val="22"/>
          <w:szCs w:val="22"/>
        </w:rPr>
      </w:pPr>
      <w:r>
        <w:rPr>
          <w:rFonts w:hint="eastAsia" w:ascii="宋体" w:hAnsi="宋体" w:eastAsia="宋体"/>
          <w:sz w:val="22"/>
          <w:szCs w:val="22"/>
        </w:rPr>
        <w:t>安全与防护、危险材料</w:t>
      </w:r>
    </w:p>
    <w:p>
      <w:pPr>
        <w:spacing w:line="0" w:lineRule="atLeast"/>
        <w:jc w:val="left"/>
        <w:rPr>
          <w:rFonts w:ascii="宋体" w:hAnsi="宋体" w:eastAsia="宋体"/>
          <w:sz w:val="22"/>
          <w:szCs w:val="22"/>
        </w:rPr>
      </w:pPr>
      <w:r>
        <w:rPr>
          <w:rFonts w:hint="eastAsia" w:ascii="宋体" w:hAnsi="宋体" w:eastAsia="宋体"/>
          <w:sz w:val="22"/>
          <w:szCs w:val="22"/>
        </w:rPr>
        <w:t>5</w:t>
      </w:r>
      <w:r>
        <w:rPr>
          <w:rFonts w:ascii="宋体" w:hAnsi="宋体" w:eastAsia="宋体"/>
          <w:sz w:val="22"/>
          <w:szCs w:val="22"/>
        </w:rPr>
        <w:t>.1</w:t>
      </w:r>
      <w:r>
        <w:rPr>
          <w:rFonts w:hint="eastAsia" w:ascii="宋体" w:hAnsi="宋体" w:eastAsia="宋体"/>
          <w:sz w:val="22"/>
          <w:szCs w:val="22"/>
        </w:rPr>
        <w:t>提供设备安全认证计划，并确保在出厂装运前已通过供应商的内部安全检查。</w:t>
      </w:r>
    </w:p>
    <w:p>
      <w:pPr>
        <w:spacing w:line="0" w:lineRule="atLeast"/>
        <w:jc w:val="left"/>
        <w:rPr>
          <w:rFonts w:ascii="宋体" w:hAnsi="宋体" w:eastAsia="宋体"/>
          <w:sz w:val="22"/>
          <w:szCs w:val="22"/>
        </w:rPr>
      </w:pPr>
      <w:r>
        <w:rPr>
          <w:rFonts w:ascii="宋体" w:hAnsi="宋体" w:eastAsia="宋体"/>
          <w:sz w:val="22"/>
          <w:szCs w:val="22"/>
        </w:rPr>
        <w:t>5.2</w:t>
      </w:r>
      <w:r>
        <w:rPr>
          <w:rFonts w:hint="eastAsia" w:ascii="宋体" w:hAnsi="宋体" w:eastAsia="宋体"/>
          <w:sz w:val="22"/>
          <w:szCs w:val="22"/>
        </w:rPr>
        <w:t xml:space="preserve"> 提供全部关于安全操作、安装及设备保养的安全预防措施的信息。</w:t>
      </w:r>
    </w:p>
    <w:p>
      <w:pPr>
        <w:spacing w:line="0" w:lineRule="atLeast"/>
        <w:jc w:val="left"/>
        <w:rPr>
          <w:rFonts w:ascii="宋体" w:hAnsi="宋体" w:eastAsia="宋体"/>
          <w:sz w:val="22"/>
          <w:szCs w:val="22"/>
        </w:rPr>
      </w:pPr>
      <w:r>
        <w:rPr>
          <w:rFonts w:hint="eastAsia" w:ascii="宋体" w:hAnsi="宋体" w:eastAsia="宋体"/>
          <w:sz w:val="22"/>
          <w:szCs w:val="22"/>
        </w:rPr>
        <w:t>5</w:t>
      </w:r>
      <w:r>
        <w:rPr>
          <w:rFonts w:ascii="宋体" w:hAnsi="宋体" w:eastAsia="宋体"/>
          <w:sz w:val="22"/>
          <w:szCs w:val="22"/>
        </w:rPr>
        <w:t xml:space="preserve">.3 </w:t>
      </w:r>
      <w:r>
        <w:rPr>
          <w:rFonts w:hint="eastAsia" w:ascii="宋体" w:hAnsi="宋体" w:eastAsia="宋体"/>
          <w:sz w:val="22"/>
          <w:szCs w:val="22"/>
        </w:rPr>
        <w:t>防护的目的是安全控制</w:t>
      </w:r>
      <w:r>
        <w:rPr>
          <w:rFonts w:ascii="宋体" w:hAnsi="宋体" w:eastAsia="宋体"/>
          <w:sz w:val="22"/>
          <w:szCs w:val="22"/>
        </w:rPr>
        <w:t>/</w:t>
      </w:r>
      <w:r>
        <w:rPr>
          <w:rFonts w:hint="eastAsia" w:ascii="宋体" w:hAnsi="宋体" w:eastAsia="宋体"/>
          <w:sz w:val="22"/>
          <w:szCs w:val="22"/>
        </w:rPr>
        <w:t>脱离操作危险或潜在的操作危险。</w:t>
      </w:r>
    </w:p>
    <w:p>
      <w:pPr>
        <w:spacing w:line="0" w:lineRule="atLeast"/>
        <w:jc w:val="left"/>
        <w:rPr>
          <w:rFonts w:ascii="宋体" w:hAnsi="宋体" w:eastAsia="宋体"/>
          <w:sz w:val="22"/>
          <w:szCs w:val="22"/>
        </w:rPr>
      </w:pPr>
      <w:r>
        <w:rPr>
          <w:rFonts w:hint="eastAsia" w:ascii="宋体" w:hAnsi="宋体" w:eastAsia="宋体"/>
          <w:sz w:val="22"/>
          <w:szCs w:val="22"/>
        </w:rPr>
        <w:t>5</w:t>
      </w:r>
      <w:r>
        <w:rPr>
          <w:rFonts w:ascii="宋体" w:hAnsi="宋体" w:eastAsia="宋体"/>
          <w:sz w:val="22"/>
          <w:szCs w:val="22"/>
        </w:rPr>
        <w:t xml:space="preserve">.4 </w:t>
      </w:r>
      <w:r>
        <w:rPr>
          <w:rFonts w:hint="eastAsia" w:ascii="宋体" w:hAnsi="宋体" w:eastAsia="宋体"/>
          <w:sz w:val="22"/>
          <w:szCs w:val="22"/>
        </w:rPr>
        <w:t>在设计和制造设备时，须将有效的防护措施考虑在内。</w:t>
      </w:r>
    </w:p>
    <w:p>
      <w:pPr>
        <w:spacing w:line="0" w:lineRule="atLeast"/>
        <w:jc w:val="left"/>
        <w:rPr>
          <w:rFonts w:ascii="宋体" w:hAnsi="宋体" w:eastAsia="宋体"/>
          <w:sz w:val="22"/>
          <w:szCs w:val="22"/>
        </w:rPr>
      </w:pPr>
      <w:r>
        <w:rPr>
          <w:rFonts w:hint="eastAsia" w:ascii="宋体" w:hAnsi="宋体" w:eastAsia="宋体"/>
          <w:sz w:val="22"/>
          <w:szCs w:val="22"/>
        </w:rPr>
        <w:t>5</w:t>
      </w:r>
      <w:r>
        <w:rPr>
          <w:rFonts w:ascii="宋体" w:hAnsi="宋体" w:eastAsia="宋体"/>
          <w:sz w:val="22"/>
          <w:szCs w:val="22"/>
        </w:rPr>
        <w:t xml:space="preserve">.5 </w:t>
      </w:r>
      <w:r>
        <w:rPr>
          <w:rFonts w:hint="eastAsia" w:ascii="宋体" w:hAnsi="宋体" w:eastAsia="宋体"/>
          <w:sz w:val="22"/>
          <w:szCs w:val="22"/>
        </w:rPr>
        <w:t>须有安全连锁开关，在机器运转时防护装置能自动循环，关闭。</w:t>
      </w:r>
    </w:p>
    <w:p>
      <w:pPr>
        <w:spacing w:line="0" w:lineRule="atLeast"/>
        <w:jc w:val="left"/>
        <w:rPr>
          <w:rFonts w:ascii="宋体" w:hAnsi="宋体" w:eastAsia="宋体"/>
          <w:sz w:val="22"/>
          <w:szCs w:val="22"/>
        </w:rPr>
      </w:pPr>
      <w:r>
        <w:rPr>
          <w:rFonts w:hint="eastAsia" w:ascii="宋体" w:hAnsi="宋体" w:eastAsia="宋体"/>
          <w:sz w:val="22"/>
          <w:szCs w:val="22"/>
        </w:rPr>
        <w:t>5</w:t>
      </w:r>
      <w:r>
        <w:rPr>
          <w:rFonts w:ascii="宋体" w:hAnsi="宋体" w:eastAsia="宋体"/>
          <w:sz w:val="22"/>
          <w:szCs w:val="22"/>
        </w:rPr>
        <w:t xml:space="preserve">.6 </w:t>
      </w:r>
      <w:r>
        <w:rPr>
          <w:rFonts w:hint="eastAsia" w:ascii="宋体" w:hAnsi="宋体" w:eastAsia="宋体"/>
          <w:sz w:val="22"/>
          <w:szCs w:val="22"/>
        </w:rPr>
        <w:t>相互关联的控制系统能判定和显示哪个连锁防护装置是打开的，不论是手动还是自动模式。</w:t>
      </w:r>
    </w:p>
    <w:p>
      <w:pPr>
        <w:spacing w:line="0" w:lineRule="atLeast"/>
        <w:jc w:val="left"/>
        <w:rPr>
          <w:rFonts w:hint="eastAsia" w:ascii="宋体" w:hAnsi="宋体" w:eastAsia="宋体"/>
          <w:sz w:val="22"/>
          <w:szCs w:val="22"/>
          <w:lang w:val="en-US" w:eastAsia="zh-CN"/>
        </w:rPr>
      </w:pPr>
      <w:r>
        <w:rPr>
          <w:rFonts w:hint="eastAsia" w:ascii="宋体" w:hAnsi="宋体" w:eastAsia="宋体"/>
          <w:sz w:val="22"/>
          <w:szCs w:val="22"/>
        </w:rPr>
        <w:t>。</w:t>
      </w:r>
      <w:r>
        <w:rPr>
          <w:rFonts w:ascii="宋体" w:hAnsi="宋体" w:eastAsia="宋体"/>
          <w:sz w:val="22"/>
          <w:szCs w:val="22"/>
        </w:rPr>
        <w:t xml:space="preserve"> </w:t>
      </w:r>
    </w:p>
    <w:p>
      <w:pPr>
        <w:spacing w:line="0" w:lineRule="atLeast"/>
        <w:jc w:val="left"/>
        <w:rPr>
          <w:rFonts w:ascii="宋体" w:hAnsi="宋体" w:eastAsia="宋体" w:cs="Times New Roman"/>
          <w:b/>
          <w:sz w:val="22"/>
          <w:szCs w:val="22"/>
        </w:rPr>
      </w:pPr>
      <w:r>
        <w:rPr>
          <w:rFonts w:hint="eastAsia" w:ascii="宋体" w:hAnsi="宋体" w:eastAsia="宋体" w:cs="Times New Roman"/>
          <w:b/>
          <w:sz w:val="22"/>
          <w:szCs w:val="22"/>
        </w:rPr>
        <w:t>二、技术要求</w:t>
      </w:r>
    </w:p>
    <w:p>
      <w:pPr>
        <w:pStyle w:val="11"/>
        <w:numPr>
          <w:ilvl w:val="0"/>
          <w:numId w:val="3"/>
        </w:numPr>
        <w:spacing w:line="0" w:lineRule="atLeast"/>
        <w:ind w:firstLineChars="0"/>
        <w:rPr>
          <w:rFonts w:ascii="宋体" w:hAnsi="宋体" w:eastAsia="宋体"/>
          <w:b w:val="0"/>
          <w:bCs/>
          <w:sz w:val="18"/>
          <w:szCs w:val="18"/>
          <w:u w:val="single"/>
        </w:rPr>
      </w:pPr>
      <w:r>
        <w:rPr>
          <w:rFonts w:hint="eastAsia" w:ascii="宋体" w:hAnsi="宋体" w:eastAsia="宋体"/>
          <w:sz w:val="22"/>
          <w:szCs w:val="22"/>
        </w:rPr>
        <w:t>设备名称：</w:t>
      </w:r>
      <w:r>
        <w:rPr>
          <w:rFonts w:hint="eastAsia" w:ascii="宋体" w:hAnsi="宋体" w:eastAsia="宋体"/>
          <w:b w:val="0"/>
          <w:bCs/>
          <w:sz w:val="21"/>
          <w:szCs w:val="21"/>
          <w:u w:val="single"/>
          <w:lang w:val="en-US" w:eastAsia="zh-CN"/>
        </w:rPr>
        <w:t>整车淋雨房设备</w:t>
      </w:r>
    </w:p>
    <w:p>
      <w:pPr>
        <w:pStyle w:val="11"/>
        <w:numPr>
          <w:ilvl w:val="0"/>
          <w:numId w:val="3"/>
        </w:numPr>
        <w:spacing w:line="0" w:lineRule="atLeast"/>
        <w:ind w:firstLineChars="0"/>
        <w:rPr>
          <w:rFonts w:ascii="宋体" w:hAnsi="宋体" w:eastAsia="宋体"/>
          <w:sz w:val="22"/>
          <w:szCs w:val="22"/>
        </w:rPr>
      </w:pPr>
      <w:r>
        <w:rPr>
          <w:rFonts w:hint="eastAsia" w:ascii="宋体" w:hAnsi="宋体" w:eastAsia="宋体"/>
          <w:sz w:val="22"/>
          <w:szCs w:val="22"/>
        </w:rPr>
        <w:t>型号：</w:t>
      </w:r>
    </w:p>
    <w:p>
      <w:pPr>
        <w:pStyle w:val="11"/>
        <w:numPr>
          <w:ilvl w:val="0"/>
          <w:numId w:val="3"/>
        </w:numPr>
        <w:spacing w:line="0" w:lineRule="atLeast"/>
        <w:ind w:firstLineChars="0"/>
        <w:rPr>
          <w:rFonts w:ascii="宋体" w:hAnsi="宋体" w:eastAsia="宋体"/>
          <w:sz w:val="22"/>
          <w:szCs w:val="22"/>
        </w:rPr>
      </w:pPr>
      <w:r>
        <w:rPr>
          <w:rFonts w:hint="eastAsia" w:ascii="宋体" w:hAnsi="宋体" w:eastAsia="宋体"/>
          <w:sz w:val="22"/>
          <w:szCs w:val="22"/>
        </w:rPr>
        <w:t>数量：1台套</w:t>
      </w:r>
    </w:p>
    <w:p>
      <w:pPr>
        <w:pStyle w:val="11"/>
        <w:numPr>
          <w:ilvl w:val="0"/>
          <w:numId w:val="3"/>
        </w:numPr>
        <w:spacing w:line="0" w:lineRule="atLeast"/>
        <w:ind w:firstLineChars="0"/>
        <w:rPr>
          <w:rFonts w:ascii="宋体" w:hAnsi="宋体" w:eastAsia="宋体"/>
          <w:sz w:val="22"/>
          <w:szCs w:val="22"/>
        </w:rPr>
      </w:pPr>
      <w:r>
        <w:rPr>
          <w:rFonts w:hint="eastAsia" w:ascii="宋体" w:hAnsi="宋体" w:eastAsia="宋体"/>
          <w:sz w:val="22"/>
          <w:szCs w:val="22"/>
        </w:rPr>
        <w:t>交货地点：山东一路交通科技有限公司，招远市辛庄镇金海路以东张新线以北。</w:t>
      </w:r>
    </w:p>
    <w:p>
      <w:pPr>
        <w:pStyle w:val="11"/>
        <w:numPr>
          <w:ilvl w:val="0"/>
          <w:numId w:val="3"/>
        </w:numPr>
        <w:spacing w:line="0" w:lineRule="atLeast"/>
        <w:ind w:firstLineChars="0"/>
        <w:rPr>
          <w:rFonts w:ascii="宋体" w:hAnsi="宋体" w:eastAsia="宋体"/>
          <w:sz w:val="22"/>
          <w:szCs w:val="22"/>
        </w:rPr>
      </w:pPr>
      <w:r>
        <w:rPr>
          <w:rFonts w:hint="eastAsia" w:ascii="宋体" w:hAnsi="宋体" w:eastAsia="宋体"/>
          <w:sz w:val="22"/>
          <w:szCs w:val="22"/>
        </w:rPr>
        <w:t>技术要求见下表</w:t>
      </w:r>
    </w:p>
    <w:tbl>
      <w:tblPr>
        <w:tblStyle w:val="9"/>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165"/>
        <w:gridCol w:w="5970"/>
        <w:gridCol w:w="770"/>
        <w:gridCol w:w="840"/>
        <w:gridCol w:w="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6" w:type="dxa"/>
            <w:vAlign w:val="center"/>
          </w:tcPr>
          <w:p>
            <w:pPr>
              <w:spacing w:line="240" w:lineRule="auto"/>
              <w:ind w:left="-248" w:leftChars="-118" w:firstLine="6" w:firstLineChars="3"/>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序号</w:t>
            </w:r>
          </w:p>
        </w:tc>
        <w:tc>
          <w:tcPr>
            <w:tcW w:w="116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项目</w:t>
            </w:r>
          </w:p>
        </w:tc>
        <w:tc>
          <w:tcPr>
            <w:tcW w:w="59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要求</w:t>
            </w: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满足</w:t>
            </w: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不满足</w:t>
            </w: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c>
          <w:tcPr>
            <w:tcW w:w="116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用途</w:t>
            </w:r>
          </w:p>
        </w:tc>
        <w:tc>
          <w:tcPr>
            <w:tcW w:w="5970" w:type="dxa"/>
            <w:vAlign w:val="center"/>
          </w:tcPr>
          <w:p>
            <w:pPr>
              <w:spacing w:line="240" w:lineRule="auto"/>
              <w:rPr>
                <w:rFonts w:hint="eastAsia" w:ascii="宋体" w:hAnsi="宋体" w:eastAsia="宋体" w:cs="宋体"/>
                <w:color w:val="000000"/>
                <w:sz w:val="20"/>
                <w:szCs w:val="20"/>
                <w:lang w:val="en-US" w:eastAsia="zh-CN"/>
              </w:rPr>
            </w:pPr>
            <w:r>
              <w:rPr>
                <w:rFonts w:hint="eastAsia" w:ascii="宋体" w:hAnsi="宋体" w:eastAsia="宋体" w:cs="宋体"/>
                <w:sz w:val="20"/>
                <w:szCs w:val="20"/>
              </w:rPr>
              <w:t>本淋雨试验台主要用于各种类型客车、厢式货车等的防雨密封性能测试。能够检测被试车辆在淋雨条件下，产品防止雨水渗透的能力和遭到淋雨时或之后的防雨性能；并能检查车厢、车身、车门、天窗等装配是否正常，密封性能是否可靠，安装方法是否正确等。</w:t>
            </w:r>
          </w:p>
          <w:p>
            <w:pPr>
              <w:spacing w:line="240" w:lineRule="auto"/>
              <w:rPr>
                <w:rFonts w:hint="eastAsia" w:ascii="宋体" w:hAnsi="宋体" w:eastAsia="宋体" w:cs="宋体"/>
                <w:color w:val="000000" w:themeColor="text1"/>
                <w:sz w:val="20"/>
                <w:szCs w:val="20"/>
                <w14:textFill>
                  <w14:solidFill>
                    <w14:schemeClr w14:val="tx1"/>
                  </w14:solidFill>
                </w14:textFill>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w:t>
            </w:r>
          </w:p>
        </w:tc>
        <w:tc>
          <w:tcPr>
            <w:tcW w:w="116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sz w:val="20"/>
                <w:szCs w:val="20"/>
                <w:lang w:val="en-US" w:eastAsia="zh-CN"/>
              </w:rPr>
              <w:t>参考标准</w:t>
            </w:r>
          </w:p>
        </w:tc>
        <w:tc>
          <w:tcPr>
            <w:tcW w:w="5970" w:type="dxa"/>
            <w:vAlign w:val="center"/>
          </w:tcPr>
          <w:p>
            <w:pPr>
              <w:spacing w:line="240" w:lineRule="auto"/>
              <w:rPr>
                <w:rFonts w:hint="eastAsia" w:ascii="宋体" w:hAnsi="宋体" w:eastAsia="宋体" w:cs="宋体"/>
                <w:sz w:val="20"/>
                <w:szCs w:val="20"/>
              </w:rPr>
            </w:pPr>
            <w:r>
              <w:rPr>
                <w:rFonts w:hint="eastAsia" w:ascii="宋体" w:hAnsi="宋体" w:eastAsia="宋体" w:cs="宋体"/>
                <w:sz w:val="20"/>
                <w:szCs w:val="20"/>
              </w:rPr>
              <w:t>QC/T476-2007《客车防雨密封性限值及试及试验方法》</w:t>
            </w:r>
          </w:p>
          <w:p>
            <w:pPr>
              <w:spacing w:line="240" w:lineRule="auto"/>
              <w:rPr>
                <w:rFonts w:hint="eastAsia" w:ascii="宋体" w:hAnsi="宋体" w:eastAsia="宋体" w:cs="宋体"/>
                <w:sz w:val="20"/>
                <w:szCs w:val="20"/>
              </w:rPr>
            </w:pPr>
            <w:r>
              <w:rPr>
                <w:rFonts w:hint="eastAsia" w:ascii="宋体" w:hAnsi="宋体" w:eastAsia="宋体" w:cs="宋体"/>
                <w:sz w:val="20"/>
                <w:szCs w:val="20"/>
              </w:rPr>
              <w:t>QC/T449-2010《保温车、冷藏车技术条件及试验方法》</w:t>
            </w:r>
          </w:p>
          <w:p>
            <w:pPr>
              <w:spacing w:line="240" w:lineRule="auto"/>
              <w:rPr>
                <w:rFonts w:hint="eastAsia" w:ascii="宋体" w:hAnsi="宋体" w:eastAsia="宋体" w:cs="宋体"/>
                <w:sz w:val="20"/>
                <w:szCs w:val="20"/>
              </w:rPr>
            </w:pPr>
            <w:r>
              <w:rPr>
                <w:rFonts w:hint="eastAsia" w:ascii="宋体" w:hAnsi="宋体" w:eastAsia="宋体" w:cs="宋体"/>
                <w:sz w:val="20"/>
                <w:szCs w:val="20"/>
              </w:rPr>
              <w:t>QC/T453-2019《厢式运输车》</w:t>
            </w:r>
          </w:p>
          <w:p>
            <w:pPr>
              <w:spacing w:line="240" w:lineRule="auto"/>
              <w:rPr>
                <w:rFonts w:hint="eastAsia" w:ascii="宋体" w:hAnsi="宋体" w:eastAsia="宋体" w:cs="宋体"/>
                <w:b w:val="0"/>
                <w:bCs/>
                <w:sz w:val="20"/>
                <w:szCs w:val="20"/>
              </w:rPr>
            </w:pPr>
            <w:r>
              <w:rPr>
                <w:rFonts w:hint="eastAsia" w:ascii="宋体" w:hAnsi="宋体" w:eastAsia="宋体" w:cs="宋体"/>
                <w:b w:val="0"/>
                <w:bCs/>
                <w:sz w:val="20"/>
                <w:szCs w:val="20"/>
              </w:rPr>
              <w:t>GJB2093-94《军用方舱淋雨试验》</w:t>
            </w:r>
          </w:p>
          <w:p>
            <w:pPr>
              <w:spacing w:line="240" w:lineRule="auto"/>
              <w:rPr>
                <w:rFonts w:hint="eastAsia" w:ascii="宋体" w:hAnsi="宋体" w:eastAsia="宋体" w:cs="宋体"/>
                <w:b w:val="0"/>
                <w:bCs/>
                <w:sz w:val="20"/>
                <w:szCs w:val="20"/>
              </w:rPr>
            </w:pPr>
            <w:r>
              <w:rPr>
                <w:rFonts w:hint="eastAsia" w:ascii="宋体" w:hAnsi="宋体" w:eastAsia="宋体" w:cs="宋体"/>
                <w:b w:val="0"/>
                <w:bCs/>
                <w:sz w:val="20"/>
                <w:szCs w:val="20"/>
              </w:rPr>
              <w:t>GJB59.70-2004《装甲车辆试验规程》</w:t>
            </w:r>
          </w:p>
          <w:p>
            <w:pPr>
              <w:spacing w:line="240" w:lineRule="auto"/>
              <w:rPr>
                <w:rFonts w:hint="eastAsia" w:ascii="宋体" w:hAnsi="宋体" w:eastAsia="宋体" w:cs="宋体"/>
                <w:sz w:val="20"/>
                <w:szCs w:val="20"/>
                <w:lang w:eastAsia="zh-CN"/>
              </w:rPr>
            </w:pPr>
            <w:r>
              <w:rPr>
                <w:rFonts w:hint="eastAsia" w:ascii="宋体" w:hAnsi="宋体" w:eastAsia="宋体" w:cs="宋体"/>
                <w:color w:val="000000"/>
                <w:sz w:val="20"/>
                <w:szCs w:val="20"/>
                <w:lang w:val="en-US" w:eastAsia="zh-CN"/>
              </w:rPr>
              <w:t>试用范围：</w:t>
            </w:r>
            <w:r>
              <w:rPr>
                <w:rFonts w:hint="eastAsia" w:ascii="宋体" w:hAnsi="宋体" w:eastAsia="宋体" w:cs="宋体"/>
                <w:sz w:val="20"/>
                <w:szCs w:val="20"/>
              </w:rPr>
              <w:t>用于M、N、O类的客车、厢式车辆和特种车辆的淋雨试验</w:t>
            </w:r>
            <w:r>
              <w:rPr>
                <w:rFonts w:hint="eastAsia" w:ascii="宋体" w:hAnsi="宋体" w:eastAsia="宋体" w:cs="宋体"/>
                <w:sz w:val="20"/>
                <w:szCs w:val="20"/>
                <w:lang w:eastAsia="zh-CN"/>
              </w:rPr>
              <w:t>。</w:t>
            </w:r>
          </w:p>
          <w:p>
            <w:pPr>
              <w:spacing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设备性能指标应达到行业先进水平，其可靠性能良好，性能稳定，控制精度高，操作使用和维修方便，售后服务优良。</w:t>
            </w:r>
          </w:p>
          <w:p>
            <w:pPr>
              <w:pStyle w:val="2"/>
              <w:spacing w:line="240" w:lineRule="auto"/>
              <w:ind w:left="0" w:leftChars="0" w:firstLine="0" w:firstLineChars="0"/>
              <w:rPr>
                <w:rFonts w:hint="eastAsia" w:ascii="宋体" w:hAnsi="宋体"/>
                <w:color w:val="FF0000"/>
                <w:sz w:val="20"/>
                <w:szCs w:val="20"/>
                <w:lang w:val="en-US" w:eastAsia="zh-CN"/>
              </w:rPr>
            </w:pPr>
            <w:r>
              <w:rPr>
                <w:rFonts w:hint="eastAsia" w:ascii="宋体" w:hAnsi="宋体"/>
                <w:color w:val="FF0000"/>
                <w:sz w:val="20"/>
                <w:szCs w:val="20"/>
              </w:rPr>
              <w:t>样品车型1</w:t>
            </w:r>
            <w:r>
              <w:rPr>
                <w:rFonts w:hint="eastAsia" w:ascii="宋体" w:hAnsi="宋体"/>
                <w:color w:val="FF0000"/>
                <w:sz w:val="20"/>
                <w:szCs w:val="20"/>
                <w:lang w:eastAsia="zh-CN"/>
              </w:rPr>
              <w:t>：</w:t>
            </w:r>
            <w:r>
              <w:rPr>
                <w:rFonts w:hint="eastAsia" w:ascii="宋体" w:hAnsi="宋体"/>
                <w:color w:val="FF0000"/>
                <w:sz w:val="20"/>
                <w:szCs w:val="20"/>
                <w:lang w:val="en-US" w:eastAsia="zh-CN"/>
              </w:rPr>
              <w:t>14*2.8*4</w:t>
            </w:r>
          </w:p>
          <w:p>
            <w:pPr>
              <w:pStyle w:val="2"/>
              <w:spacing w:line="240" w:lineRule="auto"/>
              <w:ind w:left="0" w:leftChars="0" w:firstLine="0" w:firstLineChars="0"/>
              <w:rPr>
                <w:rFonts w:hint="eastAsia" w:ascii="宋体" w:hAnsi="宋体"/>
                <w:color w:val="FF0000"/>
                <w:sz w:val="20"/>
                <w:szCs w:val="20"/>
                <w:lang w:val="en-US" w:eastAsia="zh-CN"/>
              </w:rPr>
            </w:pPr>
            <w:r>
              <w:rPr>
                <w:rFonts w:hint="eastAsia" w:ascii="宋体" w:hAnsi="宋体"/>
                <w:color w:val="FF0000"/>
                <w:sz w:val="20"/>
                <w:szCs w:val="20"/>
              </w:rPr>
              <w:t>样品车型</w:t>
            </w:r>
            <w:r>
              <w:rPr>
                <w:rFonts w:hint="eastAsia" w:ascii="宋体" w:hAnsi="宋体"/>
                <w:color w:val="FF0000"/>
                <w:sz w:val="20"/>
                <w:szCs w:val="20"/>
                <w:lang w:val="en-US" w:eastAsia="zh-CN"/>
              </w:rPr>
              <w:t>2</w:t>
            </w:r>
            <w:r>
              <w:rPr>
                <w:rFonts w:hint="eastAsia" w:ascii="宋体" w:hAnsi="宋体"/>
                <w:color w:val="FF0000"/>
                <w:sz w:val="20"/>
                <w:szCs w:val="20"/>
                <w:lang w:eastAsia="zh-CN"/>
              </w:rPr>
              <w:t>：</w:t>
            </w:r>
            <w:r>
              <w:rPr>
                <w:rFonts w:hint="eastAsia" w:ascii="宋体" w:hAnsi="宋体"/>
                <w:color w:val="FF0000"/>
                <w:sz w:val="20"/>
                <w:szCs w:val="20"/>
                <w:lang w:val="en-US" w:eastAsia="zh-CN"/>
              </w:rPr>
              <w:t>6*2.5*2.9</w:t>
            </w:r>
          </w:p>
          <w:p>
            <w:pPr>
              <w:pStyle w:val="2"/>
              <w:spacing w:line="240" w:lineRule="auto"/>
              <w:ind w:left="0" w:leftChars="0" w:firstLine="0" w:firstLineChars="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color w:val="FF0000"/>
                <w:sz w:val="20"/>
                <w:szCs w:val="20"/>
              </w:rPr>
              <w:t>样品车型</w:t>
            </w:r>
            <w:r>
              <w:rPr>
                <w:rFonts w:hint="eastAsia" w:ascii="宋体" w:hAnsi="宋体"/>
                <w:color w:val="FF0000"/>
                <w:sz w:val="20"/>
                <w:szCs w:val="20"/>
                <w:lang w:val="en-US" w:eastAsia="zh-CN"/>
              </w:rPr>
              <w:t>3：</w:t>
            </w:r>
            <w:r>
              <w:rPr>
                <w:rFonts w:hint="eastAsia" w:ascii="宋体" w:hAnsi="宋体"/>
                <w:color w:val="FF0000"/>
                <w:sz w:val="20"/>
                <w:szCs w:val="20"/>
                <w:highlight w:val="none"/>
                <w:lang w:val="en-US" w:eastAsia="zh-CN"/>
              </w:rPr>
              <w:t>4.2*1.8*1.6</w:t>
            </w: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w:t>
            </w:r>
          </w:p>
        </w:tc>
        <w:tc>
          <w:tcPr>
            <w:tcW w:w="116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产地</w:t>
            </w:r>
          </w:p>
        </w:tc>
        <w:tc>
          <w:tcPr>
            <w:tcW w:w="5970" w:type="dxa"/>
            <w:vAlign w:val="center"/>
          </w:tcPr>
          <w:p>
            <w:pPr>
              <w:autoSpaceDE w:val="0"/>
              <w:autoSpaceDN w:val="0"/>
              <w:adjustRightInd w:val="0"/>
              <w:spacing w:line="240" w:lineRule="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国产</w:t>
            </w: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w:t>
            </w:r>
          </w:p>
        </w:tc>
        <w:tc>
          <w:tcPr>
            <w:tcW w:w="116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val="0"/>
                <w:bCs/>
                <w:color w:val="000000"/>
                <w:sz w:val="20"/>
                <w:szCs w:val="20"/>
              </w:rPr>
              <w:t>设备制造计量标准</w:t>
            </w:r>
          </w:p>
        </w:tc>
        <w:tc>
          <w:tcPr>
            <w:tcW w:w="5970" w:type="dxa"/>
            <w:vAlign w:val="center"/>
          </w:tcPr>
          <w:p>
            <w:pPr>
              <w:spacing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招标文件未注明项目，投标人提供的设备，应符合出厂指标之要求，制造商应具有ISO9001认证证书。设备所有零部件和各种仪表计量单位应全部采用国际单位（SI）标准。</w:t>
            </w:r>
          </w:p>
          <w:p>
            <w:pPr>
              <w:adjustRightInd w:val="0"/>
              <w:snapToGrid w:val="0"/>
              <w:spacing w:line="240" w:lineRule="auto"/>
              <w:rPr>
                <w:rFonts w:hint="eastAsia" w:ascii="宋体" w:hAnsi="宋体" w:eastAsia="宋体" w:cs="宋体"/>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w:t>
            </w:r>
          </w:p>
        </w:tc>
        <w:tc>
          <w:tcPr>
            <w:tcW w:w="116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color w:val="000000"/>
                <w:sz w:val="20"/>
                <w:szCs w:val="20"/>
              </w:rPr>
              <w:t>设备主要</w:t>
            </w:r>
            <w:r>
              <w:rPr>
                <w:rFonts w:hint="eastAsia" w:ascii="宋体" w:hAnsi="宋体" w:eastAsia="宋体" w:cs="宋体"/>
                <w:b/>
                <w:color w:val="000000"/>
                <w:sz w:val="20"/>
                <w:szCs w:val="20"/>
                <w:lang w:val="en-US" w:eastAsia="zh-CN"/>
              </w:rPr>
              <w:t>技术参数</w:t>
            </w:r>
          </w:p>
        </w:tc>
        <w:tc>
          <w:tcPr>
            <w:tcW w:w="5970" w:type="dxa"/>
            <w:vAlign w:val="center"/>
          </w:tcPr>
          <w:p>
            <w:pPr>
              <w:spacing w:line="240" w:lineRule="auto"/>
              <w:rPr>
                <w:rFonts w:hint="eastAsia" w:ascii="宋体" w:hAnsi="宋体" w:eastAsia="宋体" w:cs="宋体"/>
                <w:sz w:val="20"/>
                <w:szCs w:val="20"/>
                <w:lang w:val="en-US" w:eastAsia="zh-CN"/>
              </w:rPr>
            </w:pPr>
            <w:r>
              <w:rPr>
                <w:rFonts w:hint="eastAsia" w:ascii="宋体" w:hAnsi="宋体" w:eastAsia="宋体" w:cs="宋体"/>
                <w:sz w:val="20"/>
                <w:szCs w:val="20"/>
              </w:rPr>
              <w:t>适应车型的外形尺寸：</w:t>
            </w:r>
            <w:r>
              <w:rPr>
                <w:rFonts w:hint="eastAsia" w:ascii="宋体" w:hAnsi="宋体" w:eastAsia="宋体" w:cs="宋体"/>
                <w:sz w:val="20"/>
                <w:szCs w:val="20"/>
                <w:lang w:val="en-US" w:eastAsia="zh-CN"/>
              </w:rPr>
              <w:t>42</w:t>
            </w:r>
            <w:r>
              <w:rPr>
                <w:rFonts w:hint="eastAsia" w:ascii="宋体" w:hAnsi="宋体" w:eastAsia="宋体" w:cs="宋体"/>
                <w:sz w:val="20"/>
                <w:szCs w:val="20"/>
              </w:rPr>
              <w:t>00×</w:t>
            </w:r>
            <w:r>
              <w:rPr>
                <w:rFonts w:hint="eastAsia" w:ascii="宋体" w:hAnsi="宋体" w:eastAsia="宋体" w:cs="宋体"/>
                <w:sz w:val="20"/>
                <w:szCs w:val="20"/>
                <w:lang w:val="en-US" w:eastAsia="zh-CN"/>
              </w:rPr>
              <w:t>180</w:t>
            </w:r>
            <w:r>
              <w:rPr>
                <w:rFonts w:hint="eastAsia" w:ascii="宋体" w:hAnsi="宋体" w:eastAsia="宋体" w:cs="宋体"/>
                <w:sz w:val="20"/>
                <w:szCs w:val="20"/>
              </w:rPr>
              <w:t>0×</w:t>
            </w:r>
            <w:r>
              <w:rPr>
                <w:rFonts w:hint="eastAsia" w:ascii="宋体" w:hAnsi="宋体" w:eastAsia="宋体" w:cs="宋体"/>
                <w:sz w:val="20"/>
                <w:szCs w:val="20"/>
                <w:lang w:val="en-US" w:eastAsia="zh-CN"/>
              </w:rPr>
              <w:t>1600</w:t>
            </w:r>
            <w:r>
              <w:rPr>
                <w:rFonts w:hint="eastAsia" w:ascii="宋体" w:hAnsi="宋体" w:eastAsia="宋体" w:cs="宋体"/>
                <w:sz w:val="20"/>
                <w:szCs w:val="20"/>
              </w:rPr>
              <w:t>mm～1</w:t>
            </w:r>
            <w:r>
              <w:rPr>
                <w:rFonts w:hint="eastAsia" w:ascii="宋体" w:hAnsi="宋体" w:eastAsia="宋体" w:cs="宋体"/>
                <w:sz w:val="20"/>
                <w:szCs w:val="20"/>
                <w:lang w:val="en-US" w:eastAsia="zh-CN"/>
              </w:rPr>
              <w:t>4</w:t>
            </w:r>
            <w:r>
              <w:rPr>
                <w:rFonts w:hint="eastAsia" w:ascii="宋体" w:hAnsi="宋体" w:eastAsia="宋体" w:cs="宋体"/>
                <w:sz w:val="20"/>
                <w:szCs w:val="20"/>
              </w:rPr>
              <w:t>000×2</w:t>
            </w:r>
            <w:r>
              <w:rPr>
                <w:rFonts w:hint="eastAsia" w:ascii="宋体" w:hAnsi="宋体" w:eastAsia="宋体" w:cs="宋体"/>
                <w:sz w:val="20"/>
                <w:szCs w:val="20"/>
                <w:lang w:val="en-US" w:eastAsia="zh-CN"/>
              </w:rPr>
              <w:t>80</w:t>
            </w:r>
            <w:r>
              <w:rPr>
                <w:rFonts w:hint="eastAsia" w:ascii="宋体" w:hAnsi="宋体" w:eastAsia="宋体" w:cs="宋体"/>
                <w:sz w:val="20"/>
                <w:szCs w:val="20"/>
              </w:rPr>
              <w:t>0×4</w:t>
            </w:r>
            <w:r>
              <w:rPr>
                <w:rFonts w:hint="eastAsia" w:ascii="宋体" w:hAnsi="宋体" w:eastAsia="宋体" w:cs="宋体"/>
                <w:sz w:val="20"/>
                <w:szCs w:val="20"/>
                <w:lang w:val="en-US" w:eastAsia="zh-CN"/>
              </w:rPr>
              <w:t>0</w:t>
            </w:r>
            <w:r>
              <w:rPr>
                <w:rFonts w:hint="eastAsia" w:ascii="宋体" w:hAnsi="宋体" w:eastAsia="宋体" w:cs="宋体"/>
                <w:sz w:val="20"/>
                <w:szCs w:val="20"/>
              </w:rPr>
              <w:t>00mm，淋雨房后部淋雨面可以前后移动。</w:t>
            </w:r>
            <w:r>
              <w:rPr>
                <w:rFonts w:hint="eastAsia" w:ascii="宋体" w:hAnsi="宋体" w:eastAsia="宋体" w:cs="宋体"/>
                <w:color w:val="0000FF"/>
                <w:sz w:val="20"/>
                <w:szCs w:val="20"/>
              </w:rPr>
              <w:t>前部采用对开门式结构</w:t>
            </w:r>
            <w:r>
              <w:rPr>
                <w:rFonts w:hint="eastAsia" w:ascii="宋体" w:hAnsi="宋体" w:eastAsia="宋体" w:cs="宋体"/>
                <w:sz w:val="20"/>
                <w:szCs w:val="20"/>
              </w:rPr>
              <w:t>。顶部</w:t>
            </w:r>
            <w:r>
              <w:rPr>
                <w:rFonts w:hint="eastAsia" w:ascii="宋体" w:hAnsi="宋体" w:eastAsia="宋体" w:cs="宋体"/>
                <w:sz w:val="20"/>
                <w:szCs w:val="20"/>
                <w:lang w:val="en-US" w:eastAsia="zh-CN"/>
              </w:rPr>
              <w:t>和侧面淋雨面采用分段式设计，满足不同尺寸车型的淋雨要求。</w:t>
            </w:r>
          </w:p>
          <w:p>
            <w:pPr>
              <w:spacing w:line="240" w:lineRule="auto"/>
              <w:rPr>
                <w:rFonts w:hint="eastAsia" w:ascii="宋体" w:hAnsi="宋体" w:eastAsia="宋体" w:cs="宋体"/>
                <w:sz w:val="20"/>
                <w:szCs w:val="20"/>
              </w:rPr>
            </w:pPr>
            <w:r>
              <w:rPr>
                <w:rFonts w:hint="eastAsia" w:ascii="宋体" w:hAnsi="宋体" w:eastAsia="宋体" w:cs="宋体"/>
                <w:sz w:val="20"/>
                <w:szCs w:val="20"/>
              </w:rPr>
              <w:t>车辆运行方式：驾驶进出；</w:t>
            </w:r>
          </w:p>
          <w:p>
            <w:pPr>
              <w:spacing w:line="240" w:lineRule="auto"/>
              <w:rPr>
                <w:rFonts w:hint="eastAsia" w:ascii="宋体" w:hAnsi="宋体" w:eastAsia="宋体" w:cs="宋体"/>
                <w:sz w:val="20"/>
                <w:szCs w:val="20"/>
              </w:rPr>
            </w:pPr>
            <w:r>
              <w:rPr>
                <w:rFonts w:hint="eastAsia" w:ascii="宋体" w:hAnsi="宋体" w:eastAsia="宋体" w:cs="宋体"/>
                <w:sz w:val="20"/>
                <w:szCs w:val="20"/>
              </w:rPr>
              <w:t>电源：AC三相五线380V±5%；50Hz；流量计：</w:t>
            </w:r>
            <w:r>
              <w:rPr>
                <w:rFonts w:hint="eastAsia" w:ascii="宋体" w:hAnsi="宋体" w:eastAsia="宋体" w:cs="宋体"/>
                <w:sz w:val="20"/>
                <w:szCs w:val="20"/>
                <w:lang w:val="en-US" w:eastAsia="zh-CN"/>
              </w:rPr>
              <w:t>满足测试要求（预留20%余量）</w:t>
            </w:r>
            <w:r>
              <w:rPr>
                <w:rFonts w:hint="eastAsia" w:ascii="宋体" w:hAnsi="宋体" w:eastAsia="宋体" w:cs="宋体"/>
                <w:sz w:val="20"/>
                <w:szCs w:val="20"/>
              </w:rPr>
              <w:t>；压力表：</w:t>
            </w:r>
            <w:r>
              <w:rPr>
                <w:rFonts w:hint="eastAsia" w:ascii="宋体" w:hAnsi="宋体" w:eastAsia="宋体" w:cs="宋体"/>
                <w:sz w:val="20"/>
                <w:szCs w:val="20"/>
                <w:highlight w:val="none"/>
              </w:rPr>
              <w:t>0～0.5MPa；</w:t>
            </w:r>
          </w:p>
          <w:p>
            <w:pPr>
              <w:spacing w:line="240" w:lineRule="auto"/>
              <w:rPr>
                <w:rFonts w:hint="eastAsia" w:ascii="宋体" w:hAnsi="宋体" w:eastAsia="宋体" w:cs="宋体"/>
                <w:sz w:val="20"/>
                <w:szCs w:val="20"/>
                <w:lang w:eastAsia="zh-CN"/>
              </w:rPr>
            </w:pPr>
            <w:r>
              <w:rPr>
                <w:rFonts w:hint="eastAsia" w:ascii="宋体" w:hAnsi="宋体" w:eastAsia="宋体" w:cs="宋体"/>
                <w:sz w:val="20"/>
                <w:szCs w:val="20"/>
              </w:rPr>
              <w:t>喷嘴喷射压力：150kPa±10kPa；</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范围可调节</w:t>
            </w:r>
            <w:r>
              <w:rPr>
                <w:rFonts w:hint="eastAsia" w:ascii="宋体" w:hAnsi="宋体" w:eastAsia="宋体" w:cs="宋体"/>
                <w:sz w:val="20"/>
                <w:szCs w:val="20"/>
                <w:lang w:eastAsia="zh-CN"/>
              </w:rPr>
              <w:t>）</w:t>
            </w:r>
          </w:p>
          <w:p>
            <w:pPr>
              <w:spacing w:line="240" w:lineRule="auto"/>
              <w:rPr>
                <w:rFonts w:hint="eastAsia" w:ascii="宋体" w:hAnsi="宋体" w:eastAsia="宋体" w:cs="宋体"/>
                <w:sz w:val="20"/>
                <w:szCs w:val="20"/>
              </w:rPr>
            </w:pPr>
            <w:r>
              <w:rPr>
                <w:rFonts w:hint="eastAsia" w:ascii="宋体" w:hAnsi="宋体" w:eastAsia="宋体" w:cs="宋体"/>
                <w:sz w:val="20"/>
                <w:szCs w:val="20"/>
              </w:rPr>
              <w:t>淋雨时间：1～60min；</w:t>
            </w:r>
          </w:p>
          <w:p>
            <w:pPr>
              <w:spacing w:line="240" w:lineRule="auto"/>
              <w:rPr>
                <w:rFonts w:hint="eastAsia" w:ascii="宋体" w:hAnsi="宋体" w:eastAsia="宋体" w:cs="宋体"/>
                <w:sz w:val="20"/>
                <w:szCs w:val="20"/>
                <w:highlight w:val="none"/>
              </w:rPr>
            </w:pPr>
            <w:r>
              <w:rPr>
                <w:rFonts w:hint="eastAsia" w:ascii="宋体" w:hAnsi="宋体" w:eastAsia="宋体" w:cs="宋体"/>
                <w:sz w:val="20"/>
                <w:szCs w:val="20"/>
              </w:rPr>
              <w:t>淋雨强度：前部满足平均（</w:t>
            </w:r>
            <w:r>
              <w:rPr>
                <w:rFonts w:hint="eastAsia" w:ascii="宋体" w:hAnsi="宋体" w:eastAsia="宋体" w:cs="宋体"/>
                <w:sz w:val="20"/>
                <w:szCs w:val="20"/>
                <w:lang w:val="en-US" w:eastAsia="zh-CN"/>
              </w:rPr>
              <w:t>8-</w:t>
            </w:r>
            <w:r>
              <w:rPr>
                <w:rFonts w:hint="eastAsia" w:ascii="宋体" w:hAnsi="宋体" w:eastAsia="宋体" w:cs="宋体"/>
                <w:sz w:val="20"/>
                <w:szCs w:val="20"/>
              </w:rPr>
              <w:t>1</w:t>
            </w:r>
            <w:r>
              <w:rPr>
                <w:rFonts w:hint="eastAsia" w:ascii="宋体" w:hAnsi="宋体" w:eastAsia="宋体" w:cs="宋体"/>
                <w:sz w:val="20"/>
                <w:szCs w:val="20"/>
                <w:lang w:val="en-US" w:eastAsia="zh-CN"/>
              </w:rPr>
              <w:t>5</w:t>
            </w:r>
            <w:r>
              <w:rPr>
                <w:rFonts w:hint="eastAsia" w:ascii="宋体" w:hAnsi="宋体" w:eastAsia="宋体" w:cs="宋体"/>
                <w:sz w:val="20"/>
                <w:szCs w:val="20"/>
              </w:rPr>
              <w:t>±1）mm/min，两侧及上、下、后满足平均（</w:t>
            </w:r>
            <w:r>
              <w:rPr>
                <w:rFonts w:hint="eastAsia" w:ascii="宋体" w:hAnsi="宋体" w:eastAsia="宋体" w:cs="宋体"/>
                <w:sz w:val="20"/>
                <w:szCs w:val="20"/>
                <w:lang w:val="en-US" w:eastAsia="zh-CN"/>
              </w:rPr>
              <w:t>5-10</w:t>
            </w:r>
            <w:r>
              <w:rPr>
                <w:rFonts w:hint="eastAsia" w:ascii="宋体" w:hAnsi="宋体" w:eastAsia="宋体" w:cs="宋体"/>
                <w:sz w:val="20"/>
                <w:szCs w:val="20"/>
              </w:rPr>
              <w:t>±l）mm/min，</w:t>
            </w:r>
            <w:r>
              <w:rPr>
                <w:rFonts w:hint="eastAsia" w:ascii="宋体" w:hAnsi="宋体" w:eastAsia="宋体" w:cs="宋体"/>
                <w:sz w:val="20"/>
                <w:szCs w:val="20"/>
                <w:highlight w:val="none"/>
              </w:rPr>
              <w:t>各部分的淋雨强度为可以</w:t>
            </w:r>
            <w:r>
              <w:rPr>
                <w:rFonts w:hint="eastAsia" w:ascii="宋体" w:hAnsi="宋体" w:eastAsia="宋体" w:cs="宋体"/>
                <w:sz w:val="20"/>
                <w:szCs w:val="20"/>
                <w:highlight w:val="none"/>
                <w:lang w:val="en-US" w:eastAsia="zh-CN"/>
              </w:rPr>
              <w:t>单独</w:t>
            </w:r>
            <w:r>
              <w:rPr>
                <w:rFonts w:hint="eastAsia" w:ascii="宋体" w:hAnsi="宋体" w:eastAsia="宋体" w:cs="宋体"/>
                <w:sz w:val="20"/>
                <w:szCs w:val="20"/>
                <w:highlight w:val="none"/>
              </w:rPr>
              <w:t>调节；</w:t>
            </w:r>
          </w:p>
          <w:p>
            <w:pPr>
              <w:spacing w:line="240" w:lineRule="auto"/>
              <w:rPr>
                <w:rFonts w:hint="eastAsia" w:ascii="宋体" w:hAnsi="宋体" w:eastAsia="宋体" w:cs="宋体"/>
                <w:sz w:val="20"/>
                <w:szCs w:val="20"/>
              </w:rPr>
            </w:pPr>
            <w:r>
              <w:rPr>
                <w:rFonts w:hint="eastAsia" w:ascii="宋体" w:hAnsi="宋体" w:eastAsia="宋体" w:cs="宋体"/>
                <w:sz w:val="20"/>
                <w:szCs w:val="20"/>
                <w:highlight w:val="none"/>
              </w:rPr>
              <w:t>喷嘴间横向和纵向间距为0.4m，</w:t>
            </w:r>
            <w:r>
              <w:rPr>
                <w:rFonts w:hint="eastAsia" w:ascii="宋体" w:hAnsi="宋体" w:eastAsia="宋体" w:cs="宋体"/>
                <w:sz w:val="20"/>
                <w:szCs w:val="20"/>
              </w:rPr>
              <w:t>喷嘴出水应均匀呈60°圆锥体形状，</w:t>
            </w:r>
            <w:r>
              <w:rPr>
                <w:rFonts w:hint="eastAsia" w:ascii="宋体" w:hAnsi="宋体" w:eastAsia="宋体" w:cs="宋体"/>
                <w:sz w:val="20"/>
                <w:szCs w:val="20"/>
                <w:lang w:val="en-US" w:eastAsia="zh-CN"/>
              </w:rPr>
              <w:t>喷嘴方向可调，调节范围0-45度，</w:t>
            </w:r>
            <w:r>
              <w:rPr>
                <w:rFonts w:hint="eastAsia" w:ascii="宋体" w:hAnsi="宋体" w:eastAsia="宋体" w:cs="宋体"/>
                <w:sz w:val="20"/>
                <w:szCs w:val="20"/>
              </w:rPr>
              <w:t>喷孔直径为2.5mm～3mm；底部喷嘴位于地面以下0.2m，其余喷嘴与车身外表面距离为0.7m±0.2m；</w:t>
            </w:r>
          </w:p>
          <w:p>
            <w:pPr>
              <w:spacing w:line="240" w:lineRule="auto"/>
              <w:rPr>
                <w:rFonts w:hint="eastAsia" w:ascii="宋体" w:hAnsi="宋体" w:eastAsia="宋体" w:cs="宋体"/>
                <w:color w:val="000000"/>
                <w:sz w:val="20"/>
                <w:szCs w:val="20"/>
                <w:highlight w:val="yellow"/>
                <w:lang w:val="en-US" w:eastAsia="zh-CN"/>
              </w:rPr>
            </w:pPr>
            <w:r>
              <w:rPr>
                <w:rFonts w:hint="eastAsia" w:ascii="宋体" w:hAnsi="宋体" w:eastAsia="宋体" w:cs="宋体"/>
                <w:b/>
                <w:bCs/>
                <w:color w:val="000000"/>
                <w:sz w:val="20"/>
                <w:szCs w:val="20"/>
                <w:highlight w:val="none"/>
              </w:rPr>
              <w:t>房体：</w:t>
            </w:r>
            <w:r>
              <w:rPr>
                <w:rFonts w:hint="eastAsia" w:ascii="宋体" w:hAnsi="宋体" w:eastAsia="宋体" w:cs="宋体"/>
                <w:color w:val="000000"/>
                <w:sz w:val="20"/>
                <w:szCs w:val="20"/>
                <w:highlight w:val="none"/>
              </w:rPr>
              <w:t>淋雨室采用</w:t>
            </w:r>
            <w:r>
              <w:rPr>
                <w:rFonts w:hint="eastAsia" w:ascii="宋体" w:hAnsi="宋体" w:eastAsia="宋体" w:cs="宋体"/>
                <w:color w:val="000000"/>
                <w:sz w:val="20"/>
                <w:szCs w:val="20"/>
                <w:highlight w:val="none"/>
                <w:lang w:val="en-US" w:eastAsia="zh-CN"/>
              </w:rPr>
              <w:t>岩棉保温，岩棉为防火阻燃材质</w:t>
            </w:r>
            <w:r>
              <w:rPr>
                <w:rFonts w:hint="eastAsia" w:ascii="宋体" w:hAnsi="宋体" w:eastAsia="宋体" w:cs="宋体"/>
                <w:color w:val="000000"/>
                <w:sz w:val="20"/>
                <w:szCs w:val="20"/>
                <w:highlight w:val="none"/>
              </w:rPr>
              <w:t>厚度</w:t>
            </w:r>
            <w:r>
              <w:rPr>
                <w:rFonts w:hint="eastAsia" w:ascii="宋体" w:hAnsi="宋体" w:eastAsia="宋体" w:cs="宋体"/>
                <w:color w:val="000000"/>
                <w:sz w:val="20"/>
                <w:szCs w:val="20"/>
                <w:highlight w:val="none"/>
                <w:lang w:val="en-US" w:eastAsia="zh-CN"/>
              </w:rPr>
              <w:t>为</w:t>
            </w:r>
            <w:r>
              <w:rPr>
                <w:rFonts w:hint="eastAsia" w:ascii="宋体" w:hAnsi="宋体" w:eastAsia="宋体" w:cs="宋体"/>
                <w:color w:val="000000"/>
                <w:sz w:val="20"/>
                <w:szCs w:val="20"/>
                <w:highlight w:val="none"/>
              </w:rPr>
              <w:t>75mm，</w:t>
            </w:r>
            <w:r>
              <w:rPr>
                <w:rFonts w:hint="eastAsia" w:ascii="宋体" w:hAnsi="宋体" w:eastAsia="宋体" w:cs="宋体"/>
                <w:color w:val="000000"/>
                <w:sz w:val="20"/>
                <w:szCs w:val="20"/>
                <w:highlight w:val="none"/>
                <w:lang w:val="en-US" w:eastAsia="zh-CN"/>
              </w:rPr>
              <w:t>房体为双板</w:t>
            </w:r>
            <w:r>
              <w:rPr>
                <w:rFonts w:hint="eastAsia" w:ascii="宋体" w:hAnsi="宋体" w:eastAsia="宋体" w:cs="宋体"/>
                <w:color w:val="000000"/>
                <w:sz w:val="20"/>
                <w:szCs w:val="20"/>
                <w:highlight w:val="none"/>
              </w:rPr>
              <w:t>结构，</w:t>
            </w:r>
            <w:r>
              <w:rPr>
                <w:rFonts w:hint="eastAsia" w:ascii="宋体" w:hAnsi="宋体" w:eastAsia="宋体" w:cs="宋体"/>
                <w:color w:val="FF0000"/>
                <w:sz w:val="20"/>
                <w:szCs w:val="20"/>
                <w:highlight w:val="none"/>
              </w:rPr>
              <w:t>内</w:t>
            </w:r>
            <w:r>
              <w:rPr>
                <w:rFonts w:hint="eastAsia" w:ascii="宋体" w:hAnsi="宋体" w:eastAsia="宋体" w:cs="宋体"/>
                <w:color w:val="FF0000"/>
                <w:sz w:val="20"/>
                <w:szCs w:val="20"/>
                <w:highlight w:val="none"/>
                <w:lang w:val="en-US" w:eastAsia="zh-CN"/>
              </w:rPr>
              <w:t>板选用厚</w:t>
            </w:r>
            <w:r>
              <w:rPr>
                <w:rFonts w:hint="eastAsia" w:ascii="宋体" w:hAnsi="宋体" w:eastAsia="宋体" w:cs="宋体"/>
                <w:color w:val="000000"/>
                <w:sz w:val="20"/>
                <w:szCs w:val="20"/>
                <w:highlight w:val="none"/>
              </w:rPr>
              <w:t>δ≥0.</w:t>
            </w:r>
            <w:r>
              <w:rPr>
                <w:rFonts w:hint="eastAsia" w:ascii="宋体" w:hAnsi="宋体" w:eastAsia="宋体" w:cs="宋体"/>
                <w:color w:val="000000"/>
                <w:sz w:val="20"/>
                <w:szCs w:val="20"/>
                <w:highlight w:val="none"/>
                <w:lang w:val="en-US" w:eastAsia="zh-CN"/>
              </w:rPr>
              <w:t>46</w:t>
            </w:r>
            <w:r>
              <w:rPr>
                <w:rFonts w:hint="eastAsia" w:ascii="宋体" w:hAnsi="宋体" w:eastAsia="宋体" w:cs="宋体"/>
                <w:color w:val="000000"/>
                <w:sz w:val="20"/>
                <w:szCs w:val="20"/>
                <w:highlight w:val="none"/>
              </w:rPr>
              <w:t>mm</w:t>
            </w:r>
            <w:r>
              <w:rPr>
                <w:rFonts w:hint="eastAsia" w:ascii="宋体" w:hAnsi="宋体" w:eastAsia="宋体" w:cs="宋体"/>
                <w:color w:val="000000"/>
                <w:sz w:val="20"/>
                <w:szCs w:val="20"/>
                <w:highlight w:val="none"/>
                <w:lang w:val="en-US" w:eastAsia="zh-CN"/>
              </w:rPr>
              <w:t>304不锈钢板</w:t>
            </w:r>
            <w:r>
              <w:rPr>
                <w:rFonts w:hint="eastAsia" w:ascii="宋体" w:hAnsi="宋体" w:eastAsia="宋体" w:cs="宋体"/>
                <w:color w:val="FF0000"/>
                <w:sz w:val="20"/>
                <w:szCs w:val="20"/>
                <w:highlight w:val="none"/>
                <w:lang w:eastAsia="zh-CN"/>
              </w:rPr>
              <w:t>，</w:t>
            </w:r>
            <w:r>
              <w:rPr>
                <w:rFonts w:hint="eastAsia" w:ascii="宋体" w:hAnsi="宋体" w:eastAsia="宋体" w:cs="宋体"/>
                <w:color w:val="000000"/>
                <w:sz w:val="20"/>
                <w:szCs w:val="20"/>
                <w:highlight w:val="none"/>
              </w:rPr>
              <w:t>外侧板选用厚δ≥0.</w:t>
            </w:r>
            <w:r>
              <w:rPr>
                <w:rFonts w:hint="eastAsia" w:ascii="宋体" w:hAnsi="宋体" w:eastAsia="宋体" w:cs="宋体"/>
                <w:color w:val="000000"/>
                <w:sz w:val="20"/>
                <w:szCs w:val="20"/>
                <w:highlight w:val="none"/>
                <w:lang w:val="en-US" w:eastAsia="zh-CN"/>
              </w:rPr>
              <w:t>7</w:t>
            </w:r>
            <w:r>
              <w:rPr>
                <w:rFonts w:hint="eastAsia" w:ascii="宋体" w:hAnsi="宋体" w:eastAsia="宋体" w:cs="宋体"/>
                <w:color w:val="000000"/>
                <w:sz w:val="20"/>
                <w:szCs w:val="20"/>
                <w:highlight w:val="none"/>
              </w:rPr>
              <w:t>mm彩涂</w:t>
            </w:r>
            <w:r>
              <w:rPr>
                <w:rFonts w:hint="eastAsia" w:ascii="宋体" w:hAnsi="宋体" w:eastAsia="宋体" w:cs="宋体"/>
                <w:color w:val="000000"/>
                <w:sz w:val="20"/>
                <w:szCs w:val="20"/>
                <w:highlight w:val="none"/>
                <w:lang w:val="en-US" w:eastAsia="zh-CN"/>
              </w:rPr>
              <w:t>钢</w:t>
            </w:r>
            <w:r>
              <w:rPr>
                <w:rFonts w:hint="eastAsia" w:ascii="宋体" w:hAnsi="宋体" w:eastAsia="宋体" w:cs="宋体"/>
                <w:color w:val="000000"/>
                <w:sz w:val="20"/>
                <w:szCs w:val="20"/>
                <w:highlight w:val="none"/>
              </w:rPr>
              <w:t>板，各壁板之间，壁板与骨架之间，壁板与地面之间采用防锈螺栓连接，各接缝处加涂建筑专用密封胶</w:t>
            </w:r>
            <w:r>
              <w:rPr>
                <w:rFonts w:hint="eastAsia" w:ascii="宋体" w:hAnsi="宋体" w:eastAsia="宋体" w:cs="宋体"/>
                <w:color w:val="000000"/>
                <w:sz w:val="20"/>
                <w:szCs w:val="20"/>
                <w:highlight w:val="none"/>
                <w:lang w:eastAsia="zh-CN"/>
              </w:rPr>
              <w:t>，</w:t>
            </w:r>
            <w:r>
              <w:rPr>
                <w:rFonts w:hint="eastAsia" w:ascii="宋体" w:hAnsi="宋体" w:eastAsia="宋体" w:cs="宋体"/>
                <w:color w:val="000000"/>
                <w:sz w:val="20"/>
                <w:szCs w:val="20"/>
                <w:highlight w:val="none"/>
                <w:lang w:val="en-US" w:eastAsia="zh-CN"/>
              </w:rPr>
              <w:t>门体尺寸根据需求设计</w:t>
            </w:r>
            <w:r>
              <w:rPr>
                <w:rFonts w:hint="eastAsia" w:ascii="宋体" w:hAnsi="宋体" w:eastAsia="宋体" w:cs="宋体"/>
                <w:color w:val="000000"/>
                <w:sz w:val="20"/>
                <w:szCs w:val="20"/>
                <w:highlight w:val="none"/>
              </w:rPr>
              <w:t>。</w:t>
            </w:r>
          </w:p>
          <w:p>
            <w:pPr>
              <w:spacing w:line="240" w:lineRule="auto"/>
              <w:ind w:left="2"/>
              <w:rPr>
                <w:rFonts w:hint="eastAsia" w:ascii="宋体" w:hAnsi="宋体" w:eastAsia="宋体" w:cs="宋体"/>
                <w:sz w:val="20"/>
                <w:szCs w:val="20"/>
                <w:highlight w:val="none"/>
                <w:lang w:val="en-US" w:eastAsia="zh-CN"/>
              </w:rPr>
            </w:pPr>
            <w:r>
              <w:rPr>
                <w:rFonts w:hint="eastAsia" w:ascii="宋体" w:hAnsi="宋体" w:eastAsia="宋体" w:cs="宋体"/>
                <w:b/>
                <w:bCs/>
                <w:sz w:val="20"/>
                <w:szCs w:val="20"/>
              </w:rPr>
              <w:t>房体骨架</w:t>
            </w:r>
            <w:r>
              <w:rPr>
                <w:rFonts w:hint="eastAsia" w:ascii="宋体" w:hAnsi="宋体" w:eastAsia="宋体" w:cs="宋体"/>
                <w:sz w:val="20"/>
                <w:szCs w:val="20"/>
              </w:rPr>
              <w:t>：选用</w:t>
            </w:r>
            <w:r>
              <w:rPr>
                <w:rFonts w:hint="eastAsia" w:ascii="宋体" w:hAnsi="宋体" w:eastAsia="宋体" w:cs="宋体"/>
                <w:sz w:val="20"/>
                <w:szCs w:val="20"/>
                <w:highlight w:val="none"/>
              </w:rPr>
              <w:t>优质</w:t>
            </w:r>
            <w:r>
              <w:rPr>
                <w:rFonts w:hint="eastAsia" w:ascii="宋体" w:hAnsi="宋体" w:eastAsia="宋体" w:cs="宋体"/>
                <w:sz w:val="20"/>
                <w:szCs w:val="20"/>
                <w:highlight w:val="none"/>
                <w:lang w:val="en-US" w:eastAsia="zh-CN"/>
              </w:rPr>
              <w:t>热</w:t>
            </w:r>
            <w:r>
              <w:rPr>
                <w:rFonts w:hint="eastAsia" w:ascii="宋体" w:hAnsi="宋体" w:eastAsia="宋体" w:cs="宋体"/>
                <w:sz w:val="20"/>
                <w:szCs w:val="20"/>
                <w:highlight w:val="none"/>
              </w:rPr>
              <w:t>镀锌材质，强度满足室外使用要求，焊接处进行防锈处理，需保证美观度</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以设计为准。</w:t>
            </w:r>
          </w:p>
          <w:p>
            <w:pPr>
              <w:spacing w:line="240" w:lineRule="auto"/>
              <w:ind w:left="2"/>
              <w:rPr>
                <w:rFonts w:hint="eastAsia" w:ascii="宋体" w:hAnsi="宋体" w:eastAsia="宋体" w:cs="宋体"/>
                <w:sz w:val="20"/>
                <w:szCs w:val="20"/>
                <w:lang w:val="en-US"/>
              </w:rPr>
            </w:pPr>
            <w:r>
              <w:rPr>
                <w:rFonts w:hint="eastAsia" w:ascii="宋体" w:hAnsi="宋体" w:eastAsia="宋体" w:cs="宋体"/>
                <w:b/>
                <w:bCs/>
                <w:sz w:val="20"/>
                <w:szCs w:val="20"/>
                <w:highlight w:val="none"/>
              </w:rPr>
              <w:t>喷淋管路：</w:t>
            </w:r>
            <w:r>
              <w:rPr>
                <w:rFonts w:hint="eastAsia" w:ascii="宋体" w:hAnsi="宋体" w:eastAsia="宋体" w:cs="宋体"/>
                <w:sz w:val="20"/>
                <w:szCs w:val="20"/>
                <w:highlight w:val="none"/>
              </w:rPr>
              <w:t>选用</w:t>
            </w:r>
            <w:r>
              <w:rPr>
                <w:rFonts w:hint="eastAsia" w:ascii="宋体" w:hAnsi="宋体" w:eastAsia="宋体" w:cs="宋体"/>
                <w:color w:val="FF0000"/>
                <w:sz w:val="20"/>
                <w:szCs w:val="20"/>
                <w:highlight w:val="none"/>
                <w:lang w:val="en-US" w:eastAsia="zh-CN"/>
              </w:rPr>
              <w:t>304不锈钢</w:t>
            </w:r>
            <w:r>
              <w:rPr>
                <w:rFonts w:hint="eastAsia" w:ascii="宋体" w:hAnsi="宋体" w:eastAsia="宋体" w:cs="宋体"/>
                <w:sz w:val="20"/>
                <w:szCs w:val="20"/>
              </w:rPr>
              <w:t>材质，满足喷淋强度需求，焊接处进行防锈处理，需保证美观度，管路上设置压力计能实时的监控及控制喷淋压力。</w:t>
            </w:r>
          </w:p>
          <w:p>
            <w:pPr>
              <w:spacing w:line="240" w:lineRule="auto"/>
              <w:ind w:left="2"/>
              <w:rPr>
                <w:rFonts w:hint="eastAsia" w:ascii="宋体" w:hAnsi="宋体" w:eastAsia="宋体" w:cs="宋体"/>
                <w:sz w:val="20"/>
                <w:szCs w:val="20"/>
              </w:rPr>
            </w:pPr>
            <w:r>
              <w:rPr>
                <w:rFonts w:hint="eastAsia" w:ascii="宋体" w:hAnsi="宋体" w:eastAsia="宋体" w:cs="宋体"/>
                <w:b/>
                <w:bCs/>
                <w:sz w:val="20"/>
                <w:szCs w:val="20"/>
              </w:rPr>
              <w:t>喷淋水泵：</w:t>
            </w:r>
            <w:r>
              <w:rPr>
                <w:rFonts w:hint="eastAsia" w:ascii="宋体" w:hAnsi="宋体" w:eastAsia="宋体" w:cs="宋体"/>
                <w:color w:val="FF0000"/>
                <w:sz w:val="20"/>
                <w:szCs w:val="20"/>
              </w:rPr>
              <w:t>选用国内优质水泵</w:t>
            </w:r>
            <w:r>
              <w:rPr>
                <w:rFonts w:hint="eastAsia" w:ascii="宋体" w:hAnsi="宋体" w:eastAsia="宋体" w:cs="宋体"/>
                <w:color w:val="FF0000"/>
                <w:sz w:val="20"/>
                <w:szCs w:val="20"/>
                <w:lang w:eastAsia="zh-CN"/>
              </w:rPr>
              <w:t>（</w:t>
            </w:r>
            <w:r>
              <w:rPr>
                <w:rFonts w:hint="eastAsia" w:ascii="宋体" w:hAnsi="宋体" w:eastAsia="宋体" w:cs="宋体"/>
                <w:color w:val="FF0000"/>
                <w:sz w:val="20"/>
                <w:szCs w:val="20"/>
                <w:lang w:val="en-US" w:eastAsia="zh-CN"/>
              </w:rPr>
              <w:t>凯泉或南方)</w:t>
            </w:r>
            <w:r>
              <w:rPr>
                <w:rFonts w:hint="eastAsia" w:ascii="宋体" w:hAnsi="宋体" w:eastAsia="宋体" w:cs="宋体"/>
                <w:color w:val="FF0000"/>
                <w:sz w:val="20"/>
                <w:szCs w:val="20"/>
              </w:rPr>
              <w:t>，且可变频调节</w:t>
            </w:r>
            <w:r>
              <w:rPr>
                <w:rFonts w:hint="eastAsia" w:ascii="宋体" w:hAnsi="宋体" w:eastAsia="宋体" w:cs="宋体"/>
                <w:sz w:val="20"/>
                <w:szCs w:val="20"/>
              </w:rPr>
              <w:t>，扬程及流量根据标准要求自行计算选定，水泵出入口采用减震软接，泵下方安装橡胶垫，水泵进水主管路上设有</w:t>
            </w:r>
            <w:r>
              <w:rPr>
                <w:rFonts w:hint="eastAsia" w:ascii="宋体" w:hAnsi="宋体" w:eastAsia="宋体" w:cs="宋体"/>
                <w:color w:val="FF0000"/>
                <w:sz w:val="20"/>
                <w:szCs w:val="20"/>
              </w:rPr>
              <w:t>自吸罐</w:t>
            </w:r>
            <w:r>
              <w:rPr>
                <w:rFonts w:hint="eastAsia" w:ascii="宋体" w:hAnsi="宋体" w:eastAsia="宋体" w:cs="宋体"/>
                <w:sz w:val="20"/>
                <w:szCs w:val="20"/>
              </w:rPr>
              <w:t>以防泵水时空气吸入、以及保证水泵瞬间供水功能。</w:t>
            </w:r>
          </w:p>
          <w:p>
            <w:pPr>
              <w:spacing w:line="240" w:lineRule="auto"/>
              <w:rPr>
                <w:rFonts w:hint="eastAsia" w:ascii="宋体" w:hAnsi="宋体" w:eastAsia="宋体" w:cs="宋体"/>
                <w:sz w:val="20"/>
                <w:szCs w:val="20"/>
              </w:rPr>
            </w:pPr>
            <w:r>
              <w:rPr>
                <w:rFonts w:hint="eastAsia" w:ascii="宋体" w:hAnsi="宋体" w:eastAsia="宋体" w:cs="宋体"/>
                <w:b/>
                <w:bCs/>
                <w:sz w:val="20"/>
                <w:szCs w:val="20"/>
              </w:rPr>
              <w:t>过滤器：</w:t>
            </w:r>
            <w:r>
              <w:rPr>
                <w:rFonts w:hint="eastAsia" w:ascii="宋体" w:hAnsi="宋体" w:eastAsia="宋体" w:cs="宋体"/>
                <w:sz w:val="20"/>
                <w:szCs w:val="20"/>
              </w:rPr>
              <w:t>采用</w:t>
            </w:r>
            <w:r>
              <w:rPr>
                <w:rFonts w:hint="eastAsia" w:ascii="宋体" w:hAnsi="宋体" w:eastAsia="宋体" w:cs="宋体"/>
                <w:color w:val="FF0000"/>
                <w:sz w:val="20"/>
                <w:szCs w:val="20"/>
              </w:rPr>
              <w:t>全自动反冲洗过滤器</w:t>
            </w:r>
            <w:r>
              <w:rPr>
                <w:rFonts w:hint="eastAsia" w:ascii="宋体" w:hAnsi="宋体" w:eastAsia="宋体" w:cs="宋体"/>
                <w:sz w:val="20"/>
                <w:szCs w:val="20"/>
              </w:rPr>
              <w:t>，过滤精度满足200目要求，保证喷嘴不堵塞。</w:t>
            </w:r>
          </w:p>
          <w:p>
            <w:pPr>
              <w:spacing w:line="240" w:lineRule="auto"/>
              <w:rPr>
                <w:rFonts w:hint="eastAsia" w:ascii="宋体" w:hAnsi="宋体" w:eastAsia="宋体" w:cs="宋体"/>
                <w:sz w:val="20"/>
                <w:szCs w:val="20"/>
              </w:rPr>
            </w:pPr>
            <w:r>
              <w:rPr>
                <w:rFonts w:hint="eastAsia" w:ascii="宋体" w:hAnsi="宋体" w:eastAsia="宋体" w:cs="宋体"/>
                <w:b/>
                <w:bCs/>
                <w:sz w:val="20"/>
                <w:szCs w:val="20"/>
              </w:rPr>
              <w:t>循环水池</w:t>
            </w:r>
            <w:r>
              <w:rPr>
                <w:rFonts w:hint="eastAsia" w:ascii="宋体" w:hAnsi="宋体" w:eastAsia="宋体" w:cs="宋体"/>
                <w:sz w:val="20"/>
                <w:szCs w:val="20"/>
              </w:rPr>
              <w:t>（</w:t>
            </w:r>
            <w:r>
              <w:rPr>
                <w:rFonts w:hint="eastAsia" w:ascii="宋体" w:hAnsi="宋体" w:eastAsia="宋体" w:cs="宋体"/>
                <w:color w:val="FF0000"/>
                <w:sz w:val="20"/>
                <w:szCs w:val="20"/>
              </w:rPr>
              <w:t>供应商出规划设计图，甲方负责翻译图纸及施工）</w:t>
            </w:r>
            <w:r>
              <w:rPr>
                <w:rFonts w:hint="eastAsia" w:ascii="宋体" w:hAnsi="宋体" w:eastAsia="宋体" w:cs="宋体"/>
                <w:sz w:val="20"/>
                <w:szCs w:val="20"/>
              </w:rPr>
              <w:t>：采用三级循环过滤水池，能满足基本的过滤需求。</w:t>
            </w:r>
          </w:p>
          <w:p>
            <w:pPr>
              <w:spacing w:line="240" w:lineRule="auto"/>
              <w:ind w:left="2"/>
              <w:rPr>
                <w:rFonts w:hint="eastAsia" w:ascii="宋体" w:hAnsi="宋体" w:eastAsia="宋体" w:cs="宋体"/>
                <w:sz w:val="20"/>
                <w:szCs w:val="20"/>
              </w:rPr>
            </w:pPr>
            <w:r>
              <w:rPr>
                <w:rFonts w:hint="eastAsia" w:ascii="宋体" w:hAnsi="宋体" w:eastAsia="宋体" w:cs="宋体"/>
                <w:b/>
                <w:bCs/>
                <w:sz w:val="20"/>
                <w:szCs w:val="20"/>
              </w:rPr>
              <w:t>基础</w:t>
            </w:r>
            <w:r>
              <w:rPr>
                <w:rFonts w:hint="eastAsia" w:ascii="宋体" w:hAnsi="宋体" w:eastAsia="宋体" w:cs="宋体"/>
                <w:sz w:val="20"/>
                <w:szCs w:val="20"/>
              </w:rPr>
              <w:t>：满足淋雨设备承重要求，要求防渗水，基础需设置挡水台阶，且有排水沟，排水沟安装</w:t>
            </w:r>
            <w:r>
              <w:rPr>
                <w:rFonts w:hint="eastAsia" w:ascii="宋体" w:hAnsi="宋体" w:eastAsia="宋体" w:cs="宋体"/>
                <w:color w:val="FF0000"/>
                <w:sz w:val="20"/>
                <w:szCs w:val="20"/>
              </w:rPr>
              <w:t>格栅</w:t>
            </w:r>
            <w:r>
              <w:rPr>
                <w:rFonts w:hint="eastAsia" w:ascii="宋体" w:hAnsi="宋体" w:eastAsia="宋体" w:cs="宋体"/>
                <w:sz w:val="20"/>
                <w:szCs w:val="20"/>
              </w:rPr>
              <w:t>，强度能满足车辆通过</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卖方负责</w:t>
            </w:r>
            <w:r>
              <w:rPr>
                <w:rFonts w:hint="eastAsia" w:ascii="宋体" w:hAnsi="宋体" w:eastAsia="宋体" w:cs="宋体"/>
                <w:sz w:val="20"/>
                <w:szCs w:val="20"/>
                <w:lang w:eastAsia="zh-CN"/>
              </w:rPr>
              <w:t>）</w:t>
            </w:r>
            <w:r>
              <w:rPr>
                <w:rFonts w:hint="eastAsia" w:ascii="宋体" w:hAnsi="宋体" w:eastAsia="宋体" w:cs="宋体"/>
                <w:sz w:val="20"/>
                <w:szCs w:val="20"/>
              </w:rPr>
              <w:t>。</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在室体内的顶部需安装三防照明灯，光照强度≥300Lx，要求位置合理，避免喷淋水雾渗入，要求不低于IP54，且维修方便。</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淋雨室体门安装</w:t>
            </w:r>
            <w:r>
              <w:rPr>
                <w:rFonts w:hint="eastAsia" w:ascii="宋体" w:hAnsi="宋体" w:eastAsia="宋体" w:cs="宋体"/>
                <w:color w:val="FF0000"/>
                <w:sz w:val="20"/>
                <w:szCs w:val="20"/>
              </w:rPr>
              <w:t>铝合金材质的卷帘门</w:t>
            </w:r>
            <w:r>
              <w:rPr>
                <w:rFonts w:hint="eastAsia" w:ascii="宋体" w:hAnsi="宋体" w:eastAsia="宋体" w:cs="宋体"/>
                <w:sz w:val="20"/>
                <w:szCs w:val="20"/>
              </w:rPr>
              <w:t>，厚度不低于20mm。</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设备使用的水电气等能源，需根据图纸指定的位置接入</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由卖方负责</w:t>
            </w:r>
            <w:r>
              <w:rPr>
                <w:rFonts w:hint="eastAsia" w:ascii="宋体" w:hAnsi="宋体" w:eastAsia="宋体" w:cs="宋体"/>
                <w:sz w:val="20"/>
                <w:szCs w:val="20"/>
                <w:lang w:eastAsia="zh-CN"/>
              </w:rPr>
              <w:t>）</w:t>
            </w:r>
            <w:r>
              <w:rPr>
                <w:rFonts w:hint="eastAsia" w:ascii="宋体" w:hAnsi="宋体" w:eastAsia="宋体" w:cs="宋体"/>
                <w:sz w:val="20"/>
                <w:szCs w:val="20"/>
              </w:rPr>
              <w:t>。</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泵区需要设计独立的控制室体，室体材质同淋雨室体相同。</w:t>
            </w:r>
          </w:p>
          <w:p>
            <w:pPr>
              <w:autoSpaceDE w:val="0"/>
              <w:autoSpaceDN w:val="0"/>
              <w:adjustRightInd w:val="0"/>
              <w:spacing w:line="240" w:lineRule="auto"/>
              <w:rPr>
                <w:rFonts w:hint="eastAsia" w:ascii="宋体" w:hAnsi="宋体" w:eastAsia="宋体" w:cs="宋体"/>
                <w:color w:val="000000"/>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w:t>
            </w:r>
          </w:p>
        </w:tc>
        <w:tc>
          <w:tcPr>
            <w:tcW w:w="1165" w:type="dxa"/>
            <w:vAlign w:val="center"/>
          </w:tcPr>
          <w:p>
            <w:pPr>
              <w:autoSpaceDE w:val="0"/>
              <w:autoSpaceDN w:val="0"/>
              <w:adjustRightInd w:val="0"/>
              <w:spacing w:line="240" w:lineRule="auto"/>
              <w:jc w:val="center"/>
              <w:rPr>
                <w:rFonts w:hint="eastAsia" w:ascii="宋体" w:hAnsi="宋体" w:eastAsia="宋体" w:cs="宋体"/>
                <w:sz w:val="20"/>
                <w:szCs w:val="20"/>
              </w:rPr>
            </w:pPr>
            <w:r>
              <w:rPr>
                <w:rFonts w:hint="eastAsia" w:ascii="宋体" w:hAnsi="宋体" w:eastAsia="宋体" w:cs="宋体"/>
                <w:b/>
                <w:color w:val="000000"/>
                <w:sz w:val="20"/>
                <w:szCs w:val="20"/>
              </w:rPr>
              <w:t>室体结构要求</w:t>
            </w:r>
          </w:p>
        </w:tc>
        <w:tc>
          <w:tcPr>
            <w:tcW w:w="5970" w:type="dxa"/>
            <w:vAlign w:val="center"/>
          </w:tcPr>
          <w:p>
            <w:pPr>
              <w:spacing w:line="240" w:lineRule="auto"/>
              <w:ind w:left="2"/>
              <w:rPr>
                <w:rFonts w:hint="eastAsia" w:ascii="宋体" w:hAnsi="宋体" w:eastAsia="宋体" w:cs="宋体"/>
                <w:color w:val="FF0000"/>
                <w:sz w:val="20"/>
                <w:szCs w:val="20"/>
              </w:rPr>
            </w:pPr>
            <w:r>
              <w:rPr>
                <w:rFonts w:hint="eastAsia" w:ascii="宋体" w:hAnsi="宋体" w:eastAsia="宋体" w:cs="宋体"/>
                <w:sz w:val="20"/>
                <w:szCs w:val="20"/>
              </w:rPr>
              <w:t>室体及控制室结构根据买方实际场地位置确定，由双方共同确认箱体实现方式；</w:t>
            </w:r>
            <w:r>
              <w:rPr>
                <w:rFonts w:hint="eastAsia" w:ascii="宋体" w:hAnsi="宋体" w:eastAsia="宋体" w:cs="宋体"/>
                <w:color w:val="FF0000"/>
                <w:sz w:val="20"/>
                <w:szCs w:val="20"/>
              </w:rPr>
              <w:t>室体结构设计及施工均由卖方负责。</w:t>
            </w:r>
          </w:p>
          <w:p>
            <w:pPr>
              <w:widowControl/>
              <w:spacing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室体地面承重符合技术要求，并建造排水沟用于收集试验用水，可循环使用喷淋水；</w:t>
            </w:r>
          </w:p>
          <w:p>
            <w:pPr>
              <w:widowControl/>
              <w:spacing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预留自来水接口用于冲洗地面及试验前的样品车。</w:t>
            </w:r>
          </w:p>
          <w:p>
            <w:pPr>
              <w:widowControl/>
              <w:spacing w:line="240" w:lineRule="auto"/>
              <w:rPr>
                <w:rFonts w:hint="eastAsia" w:ascii="宋体" w:hAnsi="宋体" w:eastAsia="宋体" w:cs="宋体"/>
                <w:color w:val="000000"/>
                <w:sz w:val="20"/>
                <w:szCs w:val="20"/>
                <w:highlight w:val="none"/>
                <w:lang w:eastAsia="zh-CN"/>
              </w:rPr>
            </w:pPr>
            <w:r>
              <w:rPr>
                <w:rFonts w:hint="eastAsia" w:ascii="宋体" w:hAnsi="宋体" w:eastAsia="宋体" w:cs="宋体"/>
                <w:color w:val="FF0000"/>
                <w:sz w:val="20"/>
                <w:szCs w:val="20"/>
                <w:highlight w:val="none"/>
              </w:rPr>
              <w:t>室体需考虑保温，</w:t>
            </w:r>
            <w:r>
              <w:rPr>
                <w:rFonts w:hint="eastAsia" w:ascii="宋体" w:hAnsi="宋体" w:eastAsia="宋体" w:cs="宋体"/>
                <w:color w:val="000000"/>
                <w:sz w:val="20"/>
                <w:szCs w:val="20"/>
                <w:highlight w:val="none"/>
              </w:rPr>
              <w:t>能满足冬季正常使用。</w:t>
            </w:r>
          </w:p>
          <w:p>
            <w:pPr>
              <w:autoSpaceDE w:val="0"/>
              <w:autoSpaceDN w:val="0"/>
              <w:adjustRightInd w:val="0"/>
              <w:spacing w:line="240" w:lineRule="auto"/>
              <w:rPr>
                <w:rFonts w:hint="eastAsia" w:ascii="宋体" w:hAnsi="宋体" w:eastAsia="宋体" w:cs="宋体"/>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7</w:t>
            </w:r>
          </w:p>
        </w:tc>
        <w:tc>
          <w:tcPr>
            <w:tcW w:w="1165" w:type="dxa"/>
            <w:vAlign w:val="center"/>
          </w:tcPr>
          <w:p>
            <w:pPr>
              <w:autoSpaceDE w:val="0"/>
              <w:autoSpaceDN w:val="0"/>
              <w:adjustRightInd w:val="0"/>
              <w:spacing w:line="240" w:lineRule="auto"/>
              <w:jc w:val="center"/>
              <w:rPr>
                <w:rFonts w:hint="eastAsia" w:ascii="宋体" w:hAnsi="宋体" w:eastAsia="宋体" w:cs="宋体"/>
                <w:b/>
                <w:color w:val="000000"/>
                <w:sz w:val="20"/>
                <w:szCs w:val="20"/>
              </w:rPr>
            </w:pPr>
            <w:r>
              <w:rPr>
                <w:rFonts w:hint="eastAsia" w:ascii="宋体" w:hAnsi="宋体" w:eastAsia="宋体" w:cs="宋体"/>
                <w:b/>
                <w:bCs/>
                <w:sz w:val="20"/>
                <w:szCs w:val="20"/>
              </w:rPr>
              <w:t>泵房控制房</w:t>
            </w:r>
          </w:p>
        </w:tc>
        <w:tc>
          <w:tcPr>
            <w:tcW w:w="5970" w:type="dxa"/>
            <w:vAlign w:val="center"/>
          </w:tcPr>
          <w:p>
            <w:pPr>
              <w:spacing w:line="360" w:lineRule="auto"/>
              <w:rPr>
                <w:rFonts w:hint="eastAsia" w:ascii="宋体" w:hAnsi="宋体" w:eastAsia="宋体" w:cs="宋体"/>
                <w:sz w:val="20"/>
                <w:szCs w:val="20"/>
              </w:rPr>
            </w:pPr>
            <w:r>
              <w:rPr>
                <w:rFonts w:hint="eastAsia" w:ascii="宋体" w:hAnsi="宋体" w:eastAsia="宋体" w:cs="宋体"/>
                <w:sz w:val="20"/>
                <w:szCs w:val="20"/>
              </w:rPr>
              <w:t>水泵安装区域及控制柜摆放位置需设置房体，房体的材质采用岩棉保温，岩棉为防火阻燃材质厚度为75mm，房体为双板结构，内外侧板选用厚δ≥0.7mm彩涂钢板，各壁板之间，壁板与骨架之间，壁板与地面之间采用防锈螺栓连接，各接缝处加涂建筑专用密封胶，室体及门洞尺寸根据需求设计；</w:t>
            </w:r>
            <w:r>
              <w:rPr>
                <w:rFonts w:hint="eastAsia" w:ascii="宋体" w:hAnsi="宋体" w:eastAsia="宋体" w:cs="宋体"/>
                <w:sz w:val="20"/>
                <w:szCs w:val="20"/>
                <w:highlight w:val="none"/>
              </w:rPr>
              <w:t>布置</w:t>
            </w:r>
            <w:r>
              <w:rPr>
                <w:rFonts w:hint="eastAsia" w:ascii="宋体" w:hAnsi="宋体" w:eastAsia="宋体" w:cs="宋体"/>
                <w:sz w:val="20"/>
                <w:szCs w:val="20"/>
                <w:highlight w:val="none"/>
                <w:lang w:val="en-US" w:eastAsia="zh-CN"/>
              </w:rPr>
              <w:t>2</w:t>
            </w:r>
            <w:r>
              <w:rPr>
                <w:rFonts w:hint="eastAsia" w:ascii="宋体" w:hAnsi="宋体" w:eastAsia="宋体" w:cs="宋体"/>
                <w:sz w:val="20"/>
                <w:szCs w:val="20"/>
                <w:highlight w:val="none"/>
              </w:rPr>
              <w:t>扇窗户，窗户采用推拉形式，能便捷打开和关闭，玻璃采用钢化玻璃</w:t>
            </w:r>
            <w:r>
              <w:rPr>
                <w:rFonts w:hint="eastAsia" w:ascii="宋体" w:hAnsi="宋体" w:eastAsia="宋体" w:cs="宋体"/>
                <w:sz w:val="20"/>
                <w:szCs w:val="20"/>
              </w:rPr>
              <w:t>；框架选用优质热镀锌材质，强度满足室外使用要求，焊接处进行防锈处理；室体内安装三防照明灯具，亮度需满足300LX；墙体侧部安装排风扇，流量满足10次/H的换风量；安装能满足日常维护及大修时需要的插座，插座形式采用快插形式。</w:t>
            </w:r>
          </w:p>
          <w:p>
            <w:pPr>
              <w:autoSpaceDE w:val="0"/>
              <w:autoSpaceDN w:val="0"/>
              <w:adjustRightInd w:val="0"/>
              <w:spacing w:line="240" w:lineRule="auto"/>
              <w:rPr>
                <w:rFonts w:hint="eastAsia" w:ascii="宋体" w:hAnsi="宋体" w:eastAsia="宋体" w:cs="宋体"/>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8</w:t>
            </w:r>
          </w:p>
        </w:tc>
        <w:tc>
          <w:tcPr>
            <w:tcW w:w="1165" w:type="dxa"/>
            <w:vAlign w:val="center"/>
          </w:tcPr>
          <w:p>
            <w:pPr>
              <w:spacing w:line="240" w:lineRule="auto"/>
              <w:rPr>
                <w:rFonts w:hint="eastAsia" w:ascii="宋体" w:hAnsi="宋体" w:eastAsia="宋体" w:cs="宋体"/>
                <w:b/>
                <w:color w:val="000000"/>
                <w:sz w:val="20"/>
                <w:szCs w:val="20"/>
                <w:highlight w:val="none"/>
                <w:lang w:eastAsia="zh-CN"/>
              </w:rPr>
            </w:pPr>
            <w:r>
              <w:rPr>
                <w:rFonts w:hint="eastAsia" w:ascii="宋体" w:hAnsi="宋体" w:eastAsia="宋体" w:cs="宋体"/>
                <w:b/>
                <w:color w:val="000000"/>
                <w:sz w:val="20"/>
                <w:szCs w:val="20"/>
                <w:highlight w:val="none"/>
              </w:rPr>
              <w:t>蓄水池</w:t>
            </w:r>
          </w:p>
          <w:p>
            <w:pPr>
              <w:autoSpaceDE w:val="0"/>
              <w:autoSpaceDN w:val="0"/>
              <w:adjustRightInd w:val="0"/>
              <w:spacing w:line="240" w:lineRule="auto"/>
              <w:rPr>
                <w:rFonts w:hint="eastAsia" w:ascii="宋体" w:hAnsi="宋体" w:eastAsia="宋体" w:cs="宋体"/>
                <w:sz w:val="20"/>
                <w:szCs w:val="20"/>
              </w:rPr>
            </w:pPr>
          </w:p>
        </w:tc>
        <w:tc>
          <w:tcPr>
            <w:tcW w:w="5970" w:type="dxa"/>
            <w:vAlign w:val="center"/>
          </w:tcPr>
          <w:p>
            <w:pPr>
              <w:spacing w:line="240" w:lineRule="auto"/>
              <w:ind w:left="2"/>
              <w:rPr>
                <w:rFonts w:hint="eastAsia" w:ascii="宋体" w:hAnsi="宋体" w:eastAsia="宋体" w:cs="宋体"/>
                <w:color w:val="FF0000"/>
                <w:sz w:val="20"/>
                <w:szCs w:val="20"/>
                <w:highlight w:val="none"/>
              </w:rPr>
            </w:pPr>
            <w:r>
              <w:rPr>
                <w:rFonts w:hint="eastAsia" w:ascii="宋体" w:hAnsi="宋体" w:eastAsia="宋体" w:cs="宋体"/>
                <w:sz w:val="20"/>
                <w:szCs w:val="20"/>
                <w:highlight w:val="none"/>
                <w:lang w:val="en-US" w:eastAsia="zh-CN"/>
              </w:rPr>
              <w:t>1.</w:t>
            </w:r>
            <w:r>
              <w:rPr>
                <w:rFonts w:hint="eastAsia" w:ascii="宋体" w:hAnsi="宋体" w:eastAsia="宋体" w:cs="宋体"/>
                <w:sz w:val="20"/>
                <w:szCs w:val="20"/>
                <w:highlight w:val="none"/>
              </w:rPr>
              <w:t>淋雨蓄水系统采用循环供水的方式，淋雨水可通过蓄水池以及集水槽实现淋雨水循环使用。淋雨水在循环过程应有多级沉淀、过滤，采用多级不锈钢网过滤装置及过滤器进行过滤，与水有过接触的机械部件均需要不锈钢材质（包括但不限于过滤网安装支架、水管），过滤网采用便捷插入式安装结构，不锈钢网及其支架要保做好防锈，便于拆卸和清洗，并提供清洗工具。蓄水池及集水坑布置在淋雨室体左侧或右侧，蓄水量应满足整车淋雨淋雨需求，应预留下水阀门并与下水管路连通，要有清除泥沙的扫除空间。</w:t>
            </w:r>
          </w:p>
          <w:p>
            <w:pPr>
              <w:spacing w:line="240" w:lineRule="auto"/>
              <w:ind w:left="2"/>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淋雨室水槽采用多级过滤系统，水槽应保证底部平整，排水口位于水槽底部最低处且具有一定的坡度接蓄水池或集水坑，便于清理沉淀物。</w:t>
            </w:r>
          </w:p>
          <w:p>
            <w:pPr>
              <w:spacing w:line="240" w:lineRule="auto"/>
              <w:rPr>
                <w:rFonts w:hint="eastAsia" w:ascii="宋体" w:hAnsi="宋体" w:eastAsia="宋体" w:cs="宋体"/>
                <w:color w:val="FF0000"/>
                <w:sz w:val="20"/>
                <w:szCs w:val="20"/>
                <w:highlight w:val="none"/>
              </w:rPr>
            </w:pPr>
            <w:r>
              <w:rPr>
                <w:rFonts w:hint="eastAsia" w:ascii="宋体" w:hAnsi="宋体" w:eastAsia="宋体" w:cs="宋体"/>
                <w:sz w:val="20"/>
                <w:szCs w:val="20"/>
                <w:highlight w:val="none"/>
              </w:rPr>
              <w:t>3</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水槽上面设有保养口并装有不锈钢活动盖板，盖板要能承重200kg以上。</w:t>
            </w:r>
          </w:p>
          <w:p>
            <w:pPr>
              <w:spacing w:line="240" w:lineRule="auto"/>
              <w:ind w:left="2"/>
              <w:rPr>
                <w:rFonts w:hint="eastAsia" w:ascii="宋体" w:hAnsi="宋体" w:eastAsia="宋体" w:cs="宋体"/>
                <w:sz w:val="20"/>
                <w:szCs w:val="20"/>
                <w:highlight w:val="none"/>
              </w:rPr>
            </w:pPr>
            <w:r>
              <w:rPr>
                <w:rFonts w:hint="eastAsia" w:ascii="宋体" w:hAnsi="宋体" w:eastAsia="宋体" w:cs="宋体"/>
                <w:sz w:val="20"/>
                <w:szCs w:val="20"/>
                <w:highlight w:val="none"/>
              </w:rPr>
              <w:t>4</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蓄水池及集水坑设有自动补水和溢流口。蓄水池系统中设有上/下水，具有液位控制器，当水位低于正常淋雨要求水量，系统要进行报警。当加注水超过设定高度，系统报警。</w:t>
            </w:r>
          </w:p>
          <w:p>
            <w:pPr>
              <w:spacing w:line="240" w:lineRule="auto"/>
              <w:ind w:left="2"/>
              <w:rPr>
                <w:rFonts w:hint="eastAsia" w:ascii="宋体" w:hAnsi="宋体" w:eastAsia="宋体" w:cs="宋体"/>
                <w:sz w:val="20"/>
                <w:szCs w:val="20"/>
                <w:highlight w:val="none"/>
              </w:rPr>
            </w:pPr>
            <w:r>
              <w:rPr>
                <w:rFonts w:hint="eastAsia" w:ascii="宋体" w:hAnsi="宋体" w:eastAsia="宋体" w:cs="宋体"/>
                <w:sz w:val="20"/>
                <w:szCs w:val="20"/>
                <w:highlight w:val="none"/>
              </w:rPr>
              <w:t>系统报警方式为声光报警，报警装置应在显著位置，报警同时需要自动补加或溢流。</w:t>
            </w:r>
          </w:p>
          <w:p>
            <w:pPr>
              <w:spacing w:line="240" w:lineRule="auto"/>
              <w:ind w:left="2"/>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5.</w:t>
            </w:r>
            <w:r>
              <w:rPr>
                <w:rFonts w:hint="eastAsia" w:ascii="宋体" w:hAnsi="宋体" w:eastAsia="宋体" w:cs="宋体"/>
                <w:sz w:val="20"/>
                <w:szCs w:val="20"/>
                <w:highlight w:val="none"/>
              </w:rPr>
              <w:t>淋雨室内部设立格栅，格栅下必须有集水槽。</w:t>
            </w:r>
          </w:p>
          <w:p>
            <w:pPr>
              <w:autoSpaceDE w:val="0"/>
              <w:autoSpaceDN w:val="0"/>
              <w:adjustRightInd w:val="0"/>
              <w:spacing w:line="240" w:lineRule="auto"/>
              <w:rPr>
                <w:rFonts w:hint="eastAsia" w:ascii="宋体" w:hAnsi="宋体" w:eastAsia="宋体" w:cs="宋体"/>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9</w:t>
            </w:r>
          </w:p>
        </w:tc>
        <w:tc>
          <w:tcPr>
            <w:tcW w:w="1165" w:type="dxa"/>
            <w:vAlign w:val="center"/>
          </w:tcPr>
          <w:p>
            <w:pPr>
              <w:autoSpaceDE w:val="0"/>
              <w:autoSpaceDN w:val="0"/>
              <w:adjustRightInd w:val="0"/>
              <w:spacing w:line="240" w:lineRule="auto"/>
              <w:rPr>
                <w:rFonts w:hint="eastAsia" w:ascii="宋体" w:hAnsi="宋体" w:eastAsia="宋体" w:cs="宋体"/>
                <w:sz w:val="20"/>
                <w:szCs w:val="20"/>
              </w:rPr>
            </w:pPr>
            <w:r>
              <w:rPr>
                <w:rFonts w:hint="eastAsia" w:ascii="宋体" w:hAnsi="宋体" w:eastAsia="宋体" w:cs="宋体"/>
                <w:b/>
                <w:bCs/>
                <w:sz w:val="20"/>
                <w:szCs w:val="20"/>
              </w:rPr>
              <w:t>水池排污</w:t>
            </w:r>
          </w:p>
        </w:tc>
        <w:tc>
          <w:tcPr>
            <w:tcW w:w="5970" w:type="dxa"/>
            <w:vAlign w:val="center"/>
          </w:tcPr>
          <w:p>
            <w:p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设置</w:t>
            </w:r>
            <w:r>
              <w:rPr>
                <w:rFonts w:hint="eastAsia" w:ascii="宋体" w:hAnsi="宋体" w:eastAsia="宋体" w:cs="宋体"/>
                <w:sz w:val="20"/>
                <w:szCs w:val="20"/>
                <w:highlight w:val="none"/>
                <w:lang w:val="en-US" w:eastAsia="zh-CN"/>
              </w:rPr>
              <w:t>1</w:t>
            </w:r>
            <w:r>
              <w:rPr>
                <w:rFonts w:hint="eastAsia" w:ascii="宋体" w:hAnsi="宋体" w:eastAsia="宋体" w:cs="宋体"/>
                <w:sz w:val="20"/>
                <w:szCs w:val="20"/>
                <w:highlight w:val="none"/>
              </w:rPr>
              <w:t>台水池排污泵，品牌选用凯泉或南方，单台流量能满足</w:t>
            </w:r>
            <w:r>
              <w:rPr>
                <w:rFonts w:hint="eastAsia" w:ascii="宋体" w:hAnsi="宋体" w:eastAsia="宋体" w:cs="宋体"/>
                <w:sz w:val="20"/>
                <w:szCs w:val="20"/>
                <w:highlight w:val="none"/>
                <w:lang w:val="en-US" w:eastAsia="zh-CN"/>
              </w:rPr>
              <w:t>1.5</w:t>
            </w:r>
            <w:r>
              <w:rPr>
                <w:rFonts w:hint="eastAsia" w:ascii="宋体" w:hAnsi="宋体" w:eastAsia="宋体" w:cs="宋体"/>
                <w:sz w:val="20"/>
                <w:szCs w:val="20"/>
                <w:highlight w:val="none"/>
              </w:rPr>
              <w:t>个小时换水的要求；排污泵的出口安装单向阀，单向阀位置便于更换维护；需设立排空保护功能，同时也能在清理水池时满足抽空的需求；</w:t>
            </w:r>
            <w:r>
              <w:rPr>
                <w:rFonts w:hint="eastAsia" w:ascii="宋体" w:hAnsi="宋体" w:eastAsia="宋体" w:cs="宋体"/>
                <w:color w:val="FF0000"/>
                <w:sz w:val="20"/>
                <w:szCs w:val="20"/>
                <w:highlight w:val="none"/>
              </w:rPr>
              <w:t>排污方式采用直排方式</w:t>
            </w:r>
            <w:r>
              <w:rPr>
                <w:rFonts w:hint="eastAsia" w:ascii="宋体" w:hAnsi="宋体" w:eastAsia="宋体" w:cs="宋体"/>
                <w:sz w:val="20"/>
                <w:szCs w:val="20"/>
                <w:highlight w:val="none"/>
              </w:rPr>
              <w:t>。</w:t>
            </w:r>
          </w:p>
          <w:p>
            <w:pPr>
              <w:autoSpaceDE w:val="0"/>
              <w:autoSpaceDN w:val="0"/>
              <w:adjustRightInd w:val="0"/>
              <w:spacing w:line="240" w:lineRule="auto"/>
              <w:rPr>
                <w:rFonts w:hint="eastAsia" w:ascii="宋体" w:hAnsi="宋体" w:eastAsia="宋体" w:cs="宋体"/>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10</w:t>
            </w:r>
          </w:p>
        </w:tc>
        <w:tc>
          <w:tcPr>
            <w:tcW w:w="1165" w:type="dxa"/>
            <w:vAlign w:val="center"/>
          </w:tcPr>
          <w:p>
            <w:pPr>
              <w:spacing w:line="240" w:lineRule="auto"/>
              <w:rPr>
                <w:rFonts w:hint="eastAsia" w:ascii="宋体" w:hAnsi="宋体" w:eastAsia="宋体" w:cs="宋体"/>
                <w:b/>
                <w:color w:val="000000"/>
                <w:sz w:val="20"/>
                <w:szCs w:val="20"/>
              </w:rPr>
            </w:pPr>
            <w:r>
              <w:rPr>
                <w:rFonts w:hint="eastAsia" w:ascii="宋体" w:hAnsi="宋体" w:eastAsia="宋体" w:cs="宋体"/>
                <w:b/>
                <w:color w:val="000000"/>
                <w:sz w:val="20"/>
                <w:szCs w:val="20"/>
              </w:rPr>
              <w:t>喷淋系统</w:t>
            </w:r>
          </w:p>
          <w:p>
            <w:pPr>
              <w:autoSpaceDE w:val="0"/>
              <w:autoSpaceDN w:val="0"/>
              <w:adjustRightInd w:val="0"/>
              <w:spacing w:line="240" w:lineRule="auto"/>
              <w:rPr>
                <w:rFonts w:hint="eastAsia" w:ascii="宋体" w:hAnsi="宋体" w:eastAsia="宋体" w:cs="宋体"/>
                <w:sz w:val="20"/>
                <w:szCs w:val="20"/>
              </w:rPr>
            </w:pPr>
          </w:p>
        </w:tc>
        <w:tc>
          <w:tcPr>
            <w:tcW w:w="5970" w:type="dxa"/>
            <w:vAlign w:val="center"/>
          </w:tcPr>
          <w:p>
            <w:pPr>
              <w:spacing w:line="240" w:lineRule="auto"/>
              <w:ind w:left="600" w:hanging="502" w:hangingChars="250"/>
              <w:rPr>
                <w:rFonts w:hint="eastAsia" w:ascii="宋体" w:hAnsi="宋体" w:eastAsia="宋体" w:cs="宋体"/>
                <w:b/>
                <w:bCs/>
                <w:sz w:val="20"/>
                <w:szCs w:val="20"/>
                <w:lang w:eastAsia="zh-CN"/>
              </w:rPr>
            </w:pPr>
            <w:r>
              <w:rPr>
                <w:rFonts w:hint="eastAsia" w:ascii="宋体" w:hAnsi="宋体" w:eastAsia="宋体" w:cs="宋体"/>
                <w:b/>
                <w:bCs/>
                <w:sz w:val="20"/>
                <w:szCs w:val="20"/>
              </w:rPr>
              <w:t>泵、阀及管道</w:t>
            </w:r>
          </w:p>
          <w:p>
            <w:pPr>
              <w:spacing w:line="240" w:lineRule="auto"/>
              <w:rPr>
                <w:rFonts w:hint="eastAsia" w:ascii="宋体" w:hAnsi="宋体" w:eastAsia="宋体" w:cs="宋体"/>
                <w:sz w:val="20"/>
                <w:szCs w:val="20"/>
              </w:rPr>
            </w:pPr>
            <w:r>
              <w:rPr>
                <w:rFonts w:hint="eastAsia" w:ascii="宋体" w:hAnsi="宋体" w:eastAsia="宋体" w:cs="宋体"/>
                <w:sz w:val="20"/>
                <w:szCs w:val="20"/>
                <w:lang w:val="en-US" w:eastAsia="zh-CN"/>
              </w:rPr>
              <w:t>1.</w:t>
            </w:r>
            <w:r>
              <w:rPr>
                <w:rFonts w:hint="eastAsia" w:ascii="宋体" w:hAnsi="宋体" w:eastAsia="宋体" w:cs="宋体"/>
                <w:sz w:val="20"/>
                <w:szCs w:val="20"/>
              </w:rPr>
              <w:t xml:space="preserve">泵阀区位置：设置在便于控制及检修的区域。 </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lang w:val="en-US" w:eastAsia="zh-CN"/>
              </w:rPr>
              <w:t>2.</w:t>
            </w:r>
            <w:r>
              <w:rPr>
                <w:rFonts w:hint="eastAsia" w:ascii="宋体" w:hAnsi="宋体" w:eastAsia="宋体" w:cs="宋体"/>
                <w:sz w:val="20"/>
                <w:szCs w:val="20"/>
              </w:rPr>
              <w:t>水泵采用国内外知名品牌卧式泵，应安装减震装置。投标时，需提供设备选型计算方法与过程。</w:t>
            </w:r>
          </w:p>
          <w:p>
            <w:pPr>
              <w:spacing w:line="240" w:lineRule="auto"/>
              <w:ind w:left="1"/>
              <w:jc w:val="left"/>
              <w:rPr>
                <w:rFonts w:hint="eastAsia" w:ascii="宋体" w:hAnsi="宋体" w:eastAsia="宋体" w:cs="宋体"/>
                <w:sz w:val="20"/>
                <w:szCs w:val="20"/>
              </w:rPr>
            </w:pPr>
            <w:r>
              <w:rPr>
                <w:rFonts w:hint="eastAsia" w:ascii="宋体" w:hAnsi="宋体" w:eastAsia="宋体" w:cs="宋体"/>
                <w:sz w:val="20"/>
                <w:szCs w:val="20"/>
                <w:lang w:val="en-US" w:eastAsia="zh-CN"/>
              </w:rPr>
              <w:t>3.</w:t>
            </w:r>
            <w:r>
              <w:rPr>
                <w:rFonts w:hint="eastAsia" w:ascii="宋体" w:hAnsi="宋体" w:eastAsia="宋体" w:cs="宋体"/>
                <w:sz w:val="20"/>
                <w:szCs w:val="20"/>
              </w:rPr>
              <w:t>循环水泵采用变频控制，可通过对喷射角度、喷射压力和水量的调节来实现各种试验目的，各分支管路、泵出口处设有压力表（要求使用检定后的压力表)，水泵额定流量选择应满足最大淋雨强度要求。水泵出口压力可调节，</w:t>
            </w:r>
            <w:r>
              <w:rPr>
                <w:rFonts w:hint="eastAsia" w:ascii="宋体" w:hAnsi="宋体" w:eastAsia="宋体" w:cs="宋体"/>
                <w:sz w:val="20"/>
                <w:szCs w:val="20"/>
                <w:highlight w:val="yellow"/>
              </w:rPr>
              <w:t>淋雨时喷嘴的喷射压力为0.1～0.3MPa。</w:t>
            </w:r>
            <w:r>
              <w:rPr>
                <w:rFonts w:hint="eastAsia" w:ascii="宋体" w:hAnsi="宋体" w:eastAsia="宋体" w:cs="宋体"/>
                <w:sz w:val="20"/>
                <w:szCs w:val="20"/>
              </w:rPr>
              <w:t>压力表的量程及最小分度值应满足相关工艺参数、主管路应装有流量计、压力表,流量计安装完成后的位置及朝向应能保证人员便于查看、</w:t>
            </w:r>
          </w:p>
          <w:p>
            <w:pPr>
              <w:spacing w:line="240" w:lineRule="auto"/>
              <w:ind w:left="600" w:hanging="500" w:hangingChars="250"/>
              <w:jc w:val="left"/>
              <w:rPr>
                <w:rFonts w:hint="eastAsia" w:ascii="宋体" w:hAnsi="宋体" w:eastAsia="宋体" w:cs="宋体"/>
                <w:sz w:val="20"/>
                <w:szCs w:val="20"/>
                <w:lang w:eastAsia="zh-CN"/>
              </w:rPr>
            </w:pPr>
            <w:r>
              <w:rPr>
                <w:rFonts w:hint="eastAsia" w:ascii="宋体" w:hAnsi="宋体" w:eastAsia="宋体" w:cs="宋体"/>
                <w:sz w:val="20"/>
                <w:szCs w:val="20"/>
              </w:rPr>
              <w:t>4</w:t>
            </w:r>
            <w:r>
              <w:rPr>
                <w:rFonts w:hint="eastAsia" w:ascii="宋体" w:hAnsi="宋体" w:eastAsia="宋体" w:cs="宋体"/>
                <w:sz w:val="20"/>
                <w:szCs w:val="20"/>
                <w:lang w:eastAsia="zh-CN"/>
              </w:rPr>
              <w:t>.</w:t>
            </w:r>
            <w:r>
              <w:rPr>
                <w:rFonts w:hint="eastAsia" w:ascii="宋体" w:hAnsi="宋体" w:eastAsia="宋体" w:cs="宋体"/>
                <w:sz w:val="20"/>
                <w:szCs w:val="20"/>
              </w:rPr>
              <w:t>在泵体选择时应充分考虑管路弯头等位置的压力消耗</w:t>
            </w:r>
            <w:r>
              <w:rPr>
                <w:rFonts w:hint="eastAsia" w:ascii="宋体" w:hAnsi="宋体" w:eastAsia="宋体" w:cs="宋体"/>
                <w:sz w:val="20"/>
                <w:szCs w:val="20"/>
                <w:lang w:eastAsia="zh-CN"/>
              </w:rPr>
              <w:t>。</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5</w:t>
            </w:r>
            <w:r>
              <w:rPr>
                <w:rFonts w:hint="eastAsia" w:ascii="宋体" w:hAnsi="宋体" w:eastAsia="宋体" w:cs="宋体"/>
                <w:sz w:val="20"/>
                <w:szCs w:val="20"/>
                <w:lang w:eastAsia="zh-CN"/>
              </w:rPr>
              <w:t>.</w:t>
            </w:r>
            <w:r>
              <w:rPr>
                <w:rFonts w:hint="eastAsia" w:ascii="宋体" w:hAnsi="宋体" w:eastAsia="宋体" w:cs="宋体"/>
                <w:sz w:val="20"/>
                <w:szCs w:val="20"/>
              </w:rPr>
              <w:t xml:space="preserve"> 泵的出口压力可实现变频调节。</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6</w:t>
            </w:r>
            <w:r>
              <w:rPr>
                <w:rFonts w:hint="eastAsia" w:ascii="宋体" w:hAnsi="宋体" w:eastAsia="宋体" w:cs="宋体"/>
                <w:sz w:val="20"/>
                <w:szCs w:val="20"/>
                <w:lang w:eastAsia="zh-CN"/>
              </w:rPr>
              <w:t>.</w:t>
            </w:r>
            <w:r>
              <w:rPr>
                <w:rFonts w:hint="eastAsia" w:ascii="宋体" w:hAnsi="宋体" w:eastAsia="宋体" w:cs="宋体"/>
                <w:sz w:val="20"/>
                <w:szCs w:val="20"/>
              </w:rPr>
              <w:t xml:space="preserve"> 电机相关驱动部位需设有安全保护罩，泵阀区四周设有安全护栏。</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7</w:t>
            </w:r>
            <w:r>
              <w:rPr>
                <w:rFonts w:hint="eastAsia" w:ascii="宋体" w:hAnsi="宋体" w:eastAsia="宋体" w:cs="宋体"/>
                <w:sz w:val="20"/>
                <w:szCs w:val="20"/>
                <w:lang w:eastAsia="zh-CN"/>
              </w:rPr>
              <w:t>.</w:t>
            </w:r>
            <w:r>
              <w:rPr>
                <w:rFonts w:hint="eastAsia" w:ascii="宋体" w:hAnsi="宋体" w:eastAsia="宋体" w:cs="宋体"/>
                <w:sz w:val="20"/>
                <w:szCs w:val="20"/>
              </w:rPr>
              <w:t xml:space="preserve"> 水泵出入口采用减震软接，泵下方安装橡胶垫。</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8</w:t>
            </w:r>
            <w:r>
              <w:rPr>
                <w:rFonts w:hint="eastAsia" w:ascii="宋体" w:hAnsi="宋体" w:eastAsia="宋体" w:cs="宋体"/>
                <w:sz w:val="20"/>
                <w:szCs w:val="20"/>
                <w:lang w:eastAsia="zh-CN"/>
              </w:rPr>
              <w:t>.</w:t>
            </w:r>
            <w:r>
              <w:rPr>
                <w:rFonts w:hint="eastAsia" w:ascii="宋体" w:hAnsi="宋体" w:eastAsia="宋体" w:cs="宋体"/>
                <w:sz w:val="20"/>
                <w:szCs w:val="20"/>
              </w:rPr>
              <w:t>在泵的吸水口处设置过滤网用来防止水泵其它杂质。</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9</w:t>
            </w:r>
            <w:r>
              <w:rPr>
                <w:rFonts w:hint="eastAsia" w:ascii="宋体" w:hAnsi="宋体" w:eastAsia="宋体" w:cs="宋体"/>
                <w:sz w:val="20"/>
                <w:szCs w:val="20"/>
                <w:lang w:eastAsia="zh-CN"/>
              </w:rPr>
              <w:t>.</w:t>
            </w:r>
            <w:r>
              <w:rPr>
                <w:rFonts w:hint="eastAsia" w:ascii="宋体" w:hAnsi="宋体" w:eastAsia="宋体" w:cs="宋体"/>
                <w:sz w:val="20"/>
                <w:szCs w:val="20"/>
              </w:rPr>
              <w:t>水泵进水主管路上应设有自吸罐以防泵水时空气吸入以及保证水泵瞬间供水功能。</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10</w:t>
            </w:r>
            <w:r>
              <w:rPr>
                <w:rFonts w:hint="eastAsia" w:ascii="宋体" w:hAnsi="宋体" w:eastAsia="宋体" w:cs="宋体"/>
                <w:sz w:val="20"/>
                <w:szCs w:val="20"/>
                <w:lang w:eastAsia="zh-CN"/>
              </w:rPr>
              <w:t>.</w:t>
            </w:r>
            <w:r>
              <w:rPr>
                <w:rFonts w:hint="eastAsia" w:ascii="宋体" w:hAnsi="宋体" w:eastAsia="宋体" w:cs="宋体"/>
                <w:sz w:val="20"/>
                <w:szCs w:val="20"/>
              </w:rPr>
              <w:t>泵上部做简易起吊结构，方便安装与维修。</w:t>
            </w:r>
          </w:p>
          <w:p>
            <w:pPr>
              <w:spacing w:line="240" w:lineRule="auto"/>
              <w:ind w:left="2"/>
              <w:contextualSpacing/>
              <w:jc w:val="left"/>
              <w:rPr>
                <w:rFonts w:hint="eastAsia" w:ascii="宋体" w:hAnsi="宋体" w:eastAsia="宋体" w:cs="宋体"/>
                <w:color w:val="FF0000"/>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1</w:t>
            </w:r>
            <w:r>
              <w:rPr>
                <w:rFonts w:hint="eastAsia" w:ascii="宋体" w:hAnsi="宋体" w:eastAsia="宋体" w:cs="宋体"/>
                <w:sz w:val="20"/>
                <w:szCs w:val="20"/>
                <w:lang w:eastAsia="zh-CN"/>
              </w:rPr>
              <w:t>.</w:t>
            </w:r>
            <w:r>
              <w:rPr>
                <w:rFonts w:hint="eastAsia" w:ascii="宋体" w:hAnsi="宋体" w:eastAsia="宋体" w:cs="宋体"/>
                <w:sz w:val="20"/>
                <w:szCs w:val="20"/>
              </w:rPr>
              <w:t xml:space="preserve"> 喷嘴：采用可调节喷淋角度的防锈喷嘴，便于清洗、更换。喷射状态为60°实心圆锥形。</w:t>
            </w:r>
            <w:r>
              <w:rPr>
                <w:rFonts w:hint="eastAsia" w:ascii="宋体" w:hAnsi="宋体" w:eastAsia="宋体" w:cs="宋体"/>
                <w:color w:val="FF0000"/>
                <w:sz w:val="20"/>
                <w:szCs w:val="20"/>
              </w:rPr>
              <w:t>喷嘴为快速可卸可调式。</w:t>
            </w:r>
          </w:p>
          <w:p>
            <w:pPr>
              <w:spacing w:line="240" w:lineRule="auto"/>
              <w:ind w:left="2"/>
              <w:contextualSpacing/>
              <w:jc w:val="left"/>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2</w:t>
            </w:r>
            <w:r>
              <w:rPr>
                <w:rFonts w:hint="eastAsia" w:ascii="宋体" w:hAnsi="宋体" w:eastAsia="宋体" w:cs="宋体"/>
                <w:sz w:val="20"/>
                <w:szCs w:val="20"/>
                <w:lang w:eastAsia="zh-CN"/>
              </w:rPr>
              <w:t>.</w:t>
            </w:r>
            <w:r>
              <w:rPr>
                <w:rFonts w:hint="eastAsia" w:ascii="宋体" w:hAnsi="宋体" w:eastAsia="宋体" w:cs="宋体"/>
                <w:sz w:val="20"/>
                <w:szCs w:val="20"/>
              </w:rPr>
              <w:t>管道：喷淋管路为</w:t>
            </w:r>
            <w:r>
              <w:rPr>
                <w:rFonts w:hint="eastAsia" w:ascii="宋体" w:hAnsi="宋体" w:eastAsia="宋体" w:cs="宋体"/>
                <w:sz w:val="20"/>
                <w:szCs w:val="20"/>
                <w:lang w:val="en-US" w:eastAsia="zh-CN"/>
              </w:rPr>
              <w:t>304</w:t>
            </w:r>
            <w:r>
              <w:rPr>
                <w:rFonts w:hint="eastAsia" w:ascii="宋体" w:hAnsi="宋体" w:eastAsia="宋体" w:cs="宋体"/>
                <w:color w:val="FF0000"/>
                <w:sz w:val="20"/>
                <w:szCs w:val="20"/>
                <w:highlight w:val="yellow"/>
                <w:lang w:val="en-US" w:eastAsia="zh-CN"/>
              </w:rPr>
              <w:t>不锈钢</w:t>
            </w:r>
            <w:r>
              <w:rPr>
                <w:rFonts w:hint="eastAsia" w:ascii="宋体" w:hAnsi="宋体" w:eastAsia="宋体" w:cs="宋体"/>
                <w:sz w:val="20"/>
                <w:szCs w:val="20"/>
              </w:rPr>
              <w:t>材料，（包括管道、法兰、接头等），要求管道具有快速泄压功能；管路各接口保证密封良好，不得出现漏水现象，同时尽量减少弯头的数量从而减少管路和压力损失。分支管路末端应有阀门、便于管道排除污垢，平常使用时能够保证密封性，穿过室体壁板的管路与空洞之间要有密封材料封闭。</w:t>
            </w:r>
          </w:p>
          <w:p>
            <w:pPr>
              <w:spacing w:line="240" w:lineRule="auto"/>
              <w:ind w:left="2"/>
              <w:contextualSpacing/>
              <w:jc w:val="left"/>
              <w:rPr>
                <w:rFonts w:hint="eastAsia" w:ascii="宋体" w:hAnsi="宋体" w:eastAsia="宋体" w:cs="宋体"/>
                <w:sz w:val="20"/>
                <w:szCs w:val="20"/>
              </w:rPr>
            </w:pPr>
            <w:r>
              <w:rPr>
                <w:rFonts w:hint="eastAsia" w:ascii="宋体" w:hAnsi="宋体" w:eastAsia="宋体" w:cs="宋体"/>
                <w:sz w:val="20"/>
                <w:szCs w:val="20"/>
              </w:rPr>
              <w:t xml:space="preserve"> </w:t>
            </w:r>
            <w:r>
              <w:rPr>
                <w:rFonts w:hint="eastAsia" w:ascii="宋体" w:hAnsi="宋体" w:eastAsia="宋体" w:cs="宋体"/>
                <w:b/>
                <w:bCs/>
                <w:sz w:val="20"/>
                <w:szCs w:val="20"/>
              </w:rPr>
              <w:t>显示装置：</w:t>
            </w:r>
          </w:p>
          <w:p>
            <w:pPr>
              <w:spacing w:line="240" w:lineRule="auto"/>
              <w:ind w:left="480" w:hanging="400" w:hangingChars="200"/>
              <w:jc w:val="left"/>
              <w:rPr>
                <w:rFonts w:hint="eastAsia" w:ascii="宋体" w:hAnsi="宋体" w:eastAsia="宋体" w:cs="宋体"/>
                <w:sz w:val="20"/>
                <w:szCs w:val="20"/>
              </w:rPr>
            </w:pPr>
            <w:r>
              <w:rPr>
                <w:rFonts w:hint="eastAsia" w:ascii="宋体" w:hAnsi="宋体" w:eastAsia="宋体" w:cs="宋体"/>
                <w:sz w:val="20"/>
                <w:szCs w:val="20"/>
              </w:rPr>
              <w:t>1 压力计：在管路的减压阀后设置压力表进行适时控制水压。</w:t>
            </w:r>
          </w:p>
          <w:p>
            <w:pPr>
              <w:spacing w:line="240" w:lineRule="auto"/>
              <w:ind w:left="1"/>
              <w:rPr>
                <w:rFonts w:hint="eastAsia" w:ascii="宋体" w:hAnsi="宋体" w:eastAsia="宋体" w:cs="宋体"/>
                <w:sz w:val="20"/>
                <w:szCs w:val="20"/>
              </w:rPr>
            </w:pPr>
            <w:r>
              <w:rPr>
                <w:rFonts w:hint="eastAsia" w:ascii="宋体" w:hAnsi="宋体" w:eastAsia="宋体" w:cs="宋体"/>
                <w:color w:val="0000FF"/>
                <w:sz w:val="20"/>
                <w:szCs w:val="20"/>
              </w:rPr>
              <w:t>2 流量计：在管路系统中设置流量传感器进行控制管路的总流量。并把适时流量的监控值传送给控制系统，应采用国内外知名品牌智能流量计。</w:t>
            </w:r>
            <w:r>
              <w:rPr>
                <w:rFonts w:hint="eastAsia" w:ascii="宋体" w:hAnsi="宋体" w:eastAsia="宋体" w:cs="宋体"/>
                <w:color w:val="0000FF"/>
                <w:sz w:val="20"/>
                <w:szCs w:val="20"/>
                <w:highlight w:val="none"/>
                <w:lang w:val="en-US" w:eastAsia="zh-CN"/>
              </w:rPr>
              <w:t>前部流量采用单独控制，其它五面设计总流量控制。</w:t>
            </w: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11</w:t>
            </w:r>
          </w:p>
        </w:tc>
        <w:tc>
          <w:tcPr>
            <w:tcW w:w="1165" w:type="dxa"/>
            <w:vAlign w:val="center"/>
          </w:tcPr>
          <w:p>
            <w:pPr>
              <w:autoSpaceDE w:val="0"/>
              <w:autoSpaceDN w:val="0"/>
              <w:adjustRightInd w:val="0"/>
              <w:spacing w:line="240" w:lineRule="auto"/>
              <w:rPr>
                <w:rFonts w:hint="eastAsia" w:ascii="宋体" w:hAnsi="宋体" w:eastAsia="宋体" w:cs="宋体"/>
                <w:sz w:val="20"/>
                <w:szCs w:val="20"/>
              </w:rPr>
            </w:pPr>
            <w:r>
              <w:rPr>
                <w:rFonts w:hint="eastAsia" w:ascii="宋体" w:hAnsi="宋体" w:eastAsia="宋体" w:cs="宋体"/>
                <w:b/>
                <w:bCs/>
                <w:sz w:val="21"/>
                <w:szCs w:val="20"/>
              </w:rPr>
              <w:t>喷淋装置及降雨强度要求</w:t>
            </w:r>
          </w:p>
        </w:tc>
        <w:tc>
          <w:tcPr>
            <w:tcW w:w="5970" w:type="dxa"/>
            <w:vAlign w:val="center"/>
          </w:tcPr>
          <w:p>
            <w:pPr>
              <w:spacing w:line="240" w:lineRule="auto"/>
              <w:ind w:left="1"/>
              <w:rPr>
                <w:rFonts w:hint="eastAsia" w:ascii="宋体" w:hAnsi="宋体" w:eastAsia="宋体" w:cs="宋体"/>
                <w:sz w:val="20"/>
                <w:szCs w:val="20"/>
              </w:rPr>
            </w:pPr>
            <w:r>
              <w:rPr>
                <w:rFonts w:hint="eastAsia" w:ascii="宋体" w:hAnsi="宋体" w:eastAsia="宋体" w:cs="宋体"/>
                <w:sz w:val="20"/>
                <w:szCs w:val="20"/>
                <w:lang w:val="en-US" w:eastAsia="zh-CN"/>
              </w:rPr>
              <w:t>1.</w:t>
            </w:r>
            <w:r>
              <w:rPr>
                <w:rFonts w:hint="eastAsia" w:ascii="宋体" w:hAnsi="宋体" w:eastAsia="宋体" w:cs="宋体"/>
                <w:sz w:val="20"/>
                <w:szCs w:val="20"/>
              </w:rPr>
              <w:t xml:space="preserve"> 根据车辆外型尺寸不同，合理设置喷淋装置喷头位置，满足使用要求，适应生产车型的喷淋。投标时，提供喷嘴间距、个数、型号的计算选型过程。</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eastAsia="zh-CN"/>
              </w:rPr>
              <w:t>.</w:t>
            </w:r>
            <w:r>
              <w:rPr>
                <w:rFonts w:hint="eastAsia" w:ascii="宋体" w:hAnsi="宋体" w:eastAsia="宋体" w:cs="宋体"/>
                <w:sz w:val="20"/>
                <w:szCs w:val="20"/>
              </w:rPr>
              <w:t>前、后、侧、顶及底各部位喷淋压力应单独调控并分别设压力指示表。</w:t>
            </w:r>
          </w:p>
          <w:p>
            <w:pPr>
              <w:spacing w:line="240" w:lineRule="auto"/>
              <w:ind w:left="720" w:hanging="600" w:hangingChars="300"/>
              <w:rPr>
                <w:rFonts w:hint="eastAsia" w:ascii="宋体" w:hAnsi="宋体" w:eastAsia="宋体" w:cs="宋体"/>
                <w:sz w:val="20"/>
                <w:szCs w:val="20"/>
              </w:rPr>
            </w:pPr>
            <w:r>
              <w:rPr>
                <w:rFonts w:hint="eastAsia" w:ascii="宋体" w:hAnsi="宋体" w:eastAsia="宋体" w:cs="宋体"/>
                <w:sz w:val="20"/>
                <w:szCs w:val="20"/>
              </w:rPr>
              <w:t>3.车顶盖喷水面积应大于车顶垂直投影面积。</w:t>
            </w:r>
          </w:p>
          <w:p>
            <w:pPr>
              <w:spacing w:line="240" w:lineRule="auto"/>
              <w:ind w:left="720" w:hanging="600" w:hangingChars="300"/>
              <w:rPr>
                <w:rFonts w:hint="eastAsia" w:ascii="宋体" w:hAnsi="宋体" w:eastAsia="宋体" w:cs="宋体"/>
                <w:sz w:val="20"/>
                <w:szCs w:val="20"/>
              </w:rPr>
            </w:pPr>
            <w:r>
              <w:rPr>
                <w:rFonts w:hint="eastAsia" w:ascii="宋体" w:hAnsi="宋体" w:eastAsia="宋体" w:cs="宋体"/>
                <w:sz w:val="20"/>
                <w:szCs w:val="20"/>
                <w:lang w:val="en-US" w:eastAsia="zh-CN"/>
              </w:rPr>
              <w:t>4.</w:t>
            </w:r>
            <w:r>
              <w:rPr>
                <w:rFonts w:hint="eastAsia" w:ascii="宋体" w:hAnsi="宋体" w:eastAsia="宋体" w:cs="宋体"/>
                <w:sz w:val="20"/>
                <w:szCs w:val="20"/>
              </w:rPr>
              <w:t>喷头型号及喷头座型号应满足喷淋需求，角度可调。</w:t>
            </w:r>
          </w:p>
          <w:p>
            <w:pPr>
              <w:spacing w:line="240" w:lineRule="auto"/>
              <w:ind w:left="1"/>
              <w:rPr>
                <w:rFonts w:hint="eastAsia" w:ascii="宋体" w:hAnsi="宋体" w:eastAsia="宋体" w:cs="宋体"/>
                <w:sz w:val="20"/>
                <w:szCs w:val="20"/>
              </w:rPr>
            </w:pPr>
            <w:r>
              <w:rPr>
                <w:rFonts w:hint="eastAsia" w:ascii="宋体" w:hAnsi="宋体" w:eastAsia="宋体" w:cs="宋体"/>
                <w:sz w:val="20"/>
                <w:szCs w:val="20"/>
                <w:lang w:val="en-US" w:eastAsia="zh-CN"/>
              </w:rPr>
              <w:t>5.</w:t>
            </w:r>
            <w:r>
              <w:rPr>
                <w:rFonts w:hint="eastAsia" w:ascii="宋体" w:hAnsi="宋体" w:eastAsia="宋体" w:cs="宋体"/>
                <w:sz w:val="20"/>
                <w:szCs w:val="20"/>
              </w:rPr>
              <w:t>喷头的数量布置应保证车体外表面均能被人工雨均匀覆盖，并保证各部位的降雨强度满足5.3.3要求，不得有死角。</w:t>
            </w:r>
          </w:p>
          <w:p>
            <w:pPr>
              <w:spacing w:line="240" w:lineRule="auto"/>
              <w:rPr>
                <w:rFonts w:hint="eastAsia" w:ascii="宋体" w:hAnsi="宋体" w:eastAsia="宋体" w:cs="宋体"/>
                <w:sz w:val="20"/>
                <w:szCs w:val="20"/>
              </w:rPr>
            </w:pPr>
            <w:r>
              <w:rPr>
                <w:rFonts w:hint="eastAsia" w:ascii="宋体" w:hAnsi="宋体" w:eastAsia="宋体" w:cs="宋体"/>
                <w:sz w:val="20"/>
                <w:szCs w:val="20"/>
                <w:lang w:val="en-US" w:eastAsia="zh-CN"/>
              </w:rPr>
              <w:t>6.</w:t>
            </w:r>
            <w:r>
              <w:rPr>
                <w:rFonts w:hint="eastAsia" w:ascii="宋体" w:hAnsi="宋体" w:eastAsia="宋体" w:cs="宋体"/>
                <w:sz w:val="20"/>
                <w:szCs w:val="20"/>
              </w:rPr>
              <w:t>淋雨系统的信号系统采用不同颜色的灯光显示。</w:t>
            </w:r>
          </w:p>
          <w:p>
            <w:pPr>
              <w:spacing w:line="240" w:lineRule="auto"/>
              <w:ind w:left="1"/>
              <w:rPr>
                <w:rFonts w:hint="eastAsia" w:ascii="宋体" w:hAnsi="宋体" w:eastAsia="宋体" w:cs="宋体"/>
                <w:sz w:val="20"/>
                <w:szCs w:val="20"/>
              </w:rPr>
            </w:pPr>
            <w:r>
              <w:rPr>
                <w:rFonts w:hint="eastAsia" w:ascii="宋体" w:hAnsi="宋体" w:eastAsia="宋体" w:cs="宋体"/>
                <w:sz w:val="20"/>
                <w:szCs w:val="20"/>
                <w:lang w:val="en-US" w:eastAsia="zh-CN"/>
              </w:rPr>
              <w:t>7.</w:t>
            </w:r>
            <w:r>
              <w:rPr>
                <w:rFonts w:hint="eastAsia" w:ascii="宋体" w:hAnsi="宋体" w:eastAsia="宋体" w:cs="宋体"/>
                <w:sz w:val="20"/>
                <w:szCs w:val="20"/>
              </w:rPr>
              <w:t xml:space="preserve"> 管路布置形式保证各喷嘴出口压力均衡。</w:t>
            </w:r>
          </w:p>
          <w:p>
            <w:pPr>
              <w:spacing w:line="240" w:lineRule="auto"/>
              <w:ind w:left="1"/>
              <w:rPr>
                <w:rFonts w:hint="eastAsia" w:ascii="宋体" w:hAnsi="宋体" w:eastAsia="宋体" w:cs="宋体"/>
                <w:color w:val="0000FF"/>
                <w:sz w:val="20"/>
                <w:szCs w:val="20"/>
                <w:highlight w:val="magenta"/>
                <w:lang w:val="en-US" w:eastAsia="zh-CN"/>
              </w:rPr>
            </w:pPr>
            <w:r>
              <w:rPr>
                <w:rFonts w:hint="eastAsia" w:ascii="宋体" w:hAnsi="宋体" w:eastAsia="宋体" w:cs="宋体"/>
                <w:sz w:val="20"/>
                <w:szCs w:val="20"/>
                <w:lang w:val="en-US" w:eastAsia="zh-CN"/>
              </w:rPr>
              <w:t>8.</w:t>
            </w:r>
            <w:r>
              <w:rPr>
                <w:rFonts w:hint="eastAsia" w:ascii="宋体" w:hAnsi="宋体" w:eastAsia="宋体" w:cs="宋体"/>
                <w:sz w:val="20"/>
                <w:szCs w:val="20"/>
              </w:rPr>
              <w:t xml:space="preserve"> </w:t>
            </w:r>
            <w:r>
              <w:rPr>
                <w:rFonts w:hint="eastAsia" w:ascii="宋体" w:hAnsi="宋体" w:eastAsia="宋体" w:cs="宋体"/>
                <w:sz w:val="20"/>
                <w:szCs w:val="20"/>
                <w:highlight w:val="none"/>
              </w:rPr>
              <w:t>淋雨房后部淋雨面可以前后移动，前部采用对开门式结构，顶部和侧面淋雨面采用分段式设计，满足不同尺寸车型的淋雨要求。</w:t>
            </w:r>
            <w:r>
              <w:rPr>
                <w:rFonts w:hint="eastAsia" w:ascii="宋体" w:hAnsi="宋体" w:eastAsia="宋体" w:cs="宋体"/>
                <w:color w:val="0000FF"/>
                <w:sz w:val="20"/>
                <w:szCs w:val="20"/>
                <w:highlight w:val="none"/>
              </w:rPr>
              <w:t>整个喷淋管道在葫芦的带动下上下</w:t>
            </w:r>
            <w:r>
              <w:rPr>
                <w:rFonts w:hint="eastAsia" w:ascii="宋体" w:hAnsi="宋体" w:eastAsia="宋体" w:cs="宋体"/>
                <w:color w:val="0000FF"/>
                <w:sz w:val="20"/>
                <w:szCs w:val="20"/>
                <w:highlight w:val="none"/>
                <w:lang w:eastAsia="zh-CN"/>
              </w:rPr>
              <w:t>、</w:t>
            </w:r>
            <w:r>
              <w:rPr>
                <w:rFonts w:hint="eastAsia" w:ascii="宋体" w:hAnsi="宋体" w:eastAsia="宋体" w:cs="宋体"/>
                <w:color w:val="0000FF"/>
                <w:sz w:val="20"/>
                <w:szCs w:val="20"/>
                <w:highlight w:val="none"/>
                <w:lang w:val="en-US" w:eastAsia="zh-CN"/>
              </w:rPr>
              <w:t>左右</w:t>
            </w:r>
            <w:r>
              <w:rPr>
                <w:rFonts w:hint="eastAsia" w:ascii="宋体" w:hAnsi="宋体" w:eastAsia="宋体" w:cs="宋体"/>
                <w:color w:val="0000FF"/>
                <w:sz w:val="20"/>
                <w:szCs w:val="20"/>
                <w:highlight w:val="none"/>
              </w:rPr>
              <w:t>移动，同时在室体内壁上设标尺方便调整喷淋管的调整高度。</w:t>
            </w:r>
            <w:r>
              <w:rPr>
                <w:rFonts w:hint="eastAsia" w:ascii="宋体" w:hAnsi="宋体" w:eastAsia="宋体" w:cs="宋体"/>
                <w:color w:val="0000FF"/>
                <w:sz w:val="20"/>
                <w:szCs w:val="20"/>
                <w:highlight w:val="yellow"/>
                <w:lang w:eastAsia="zh-CN"/>
              </w:rPr>
              <w:t>（</w:t>
            </w:r>
            <w:r>
              <w:rPr>
                <w:rFonts w:hint="eastAsia" w:ascii="宋体" w:hAnsi="宋体" w:eastAsia="宋体" w:cs="宋体"/>
                <w:sz w:val="20"/>
                <w:szCs w:val="20"/>
                <w:highlight w:val="yellow"/>
                <w:lang w:val="en-US" w:eastAsia="zh-CN"/>
              </w:rPr>
              <w:t>升降移动方式是手动</w:t>
            </w:r>
            <w:r>
              <w:rPr>
                <w:rFonts w:hint="eastAsia" w:ascii="宋体" w:hAnsi="宋体" w:eastAsia="宋体" w:cs="宋体"/>
                <w:color w:val="0000FF"/>
                <w:sz w:val="20"/>
                <w:szCs w:val="20"/>
                <w:highlight w:val="yellow"/>
                <w:lang w:eastAsia="zh-CN"/>
              </w:rPr>
              <w:t>）</w:t>
            </w:r>
          </w:p>
          <w:p>
            <w:pPr>
              <w:autoSpaceDE w:val="0"/>
              <w:autoSpaceDN w:val="0"/>
              <w:adjustRightInd w:val="0"/>
              <w:spacing w:line="240" w:lineRule="auto"/>
              <w:jc w:val="left"/>
              <w:rPr>
                <w:rFonts w:hint="eastAsia" w:ascii="宋体" w:hAnsi="宋体" w:eastAsia="宋体" w:cs="宋体"/>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12</w:t>
            </w:r>
          </w:p>
        </w:tc>
        <w:tc>
          <w:tcPr>
            <w:tcW w:w="1165" w:type="dxa"/>
            <w:vAlign w:val="center"/>
          </w:tcPr>
          <w:p>
            <w:pPr>
              <w:autoSpaceDE w:val="0"/>
              <w:autoSpaceDN w:val="0"/>
              <w:adjustRightInd w:val="0"/>
              <w:spacing w:line="240" w:lineRule="auto"/>
              <w:jc w:val="left"/>
              <w:rPr>
                <w:rFonts w:hint="eastAsia" w:ascii="宋体" w:hAnsi="宋体" w:eastAsia="宋体" w:cs="宋体"/>
                <w:color w:val="auto"/>
                <w:sz w:val="20"/>
                <w:szCs w:val="20"/>
              </w:rPr>
            </w:pPr>
            <w:r>
              <w:rPr>
                <w:rFonts w:hint="eastAsia" w:ascii="宋体" w:hAnsi="宋体" w:eastAsia="宋体" w:cs="宋体"/>
                <w:b/>
                <w:color w:val="auto"/>
                <w:sz w:val="20"/>
                <w:szCs w:val="20"/>
              </w:rPr>
              <w:t>控制系统</w:t>
            </w:r>
          </w:p>
        </w:tc>
        <w:tc>
          <w:tcPr>
            <w:tcW w:w="5970" w:type="dxa"/>
            <w:vAlign w:val="center"/>
          </w:tcPr>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系统分为自动和手动两种运行模式，并配备人机界面。电压电气部分引用电力系统安全稳定控制系统通用技术条件，国标DL/T 1092-2008，自动控制部分引用国标GB522。此系本设计和施工的依据。</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系统可以全程手动／自动切换，淋雨时间定时设定。</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3.</w:t>
            </w:r>
            <w:r>
              <w:rPr>
                <w:rFonts w:hint="eastAsia" w:ascii="宋体" w:hAnsi="宋体" w:eastAsia="宋体" w:cs="宋体"/>
                <w:color w:val="auto"/>
                <w:sz w:val="20"/>
                <w:szCs w:val="20"/>
              </w:rPr>
              <w:t>启动系统控制电源：在选择自动运行状态下，方可开始进行自动模式运行。在选择手动运行状态下，可将喷淋时间、压力等单独进行设置。</w:t>
            </w:r>
          </w:p>
          <w:p>
            <w:pPr>
              <w:spacing w:line="240" w:lineRule="auto"/>
              <w:ind w:left="480" w:hanging="400" w:hangingChars="20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4.</w:t>
            </w:r>
            <w:r>
              <w:rPr>
                <w:rFonts w:hint="eastAsia" w:ascii="宋体" w:hAnsi="宋体" w:eastAsia="宋体" w:cs="宋体"/>
                <w:color w:val="auto"/>
                <w:sz w:val="20"/>
                <w:szCs w:val="20"/>
              </w:rPr>
              <w:t>手动运行模式是在自动运行产生故障不能运行工作时，应急强行启动或停止淋雨试验。</w:t>
            </w:r>
          </w:p>
          <w:p>
            <w:pPr>
              <w:spacing w:line="240" w:lineRule="auto"/>
              <w:ind w:left="480" w:hanging="400" w:hangingChars="20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5.</w:t>
            </w:r>
            <w:r>
              <w:rPr>
                <w:rFonts w:hint="eastAsia" w:ascii="宋体" w:hAnsi="宋体" w:eastAsia="宋体" w:cs="宋体"/>
                <w:color w:val="auto"/>
                <w:sz w:val="20"/>
                <w:szCs w:val="20"/>
              </w:rPr>
              <w:t>本系统对水泵采取短路，过载和降压低速启动保护。</w:t>
            </w:r>
          </w:p>
          <w:p>
            <w:pPr>
              <w:spacing w:line="240" w:lineRule="auto"/>
              <w:ind w:left="1" w:hanging="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6.</w:t>
            </w:r>
            <w:r>
              <w:rPr>
                <w:rFonts w:hint="eastAsia" w:ascii="宋体" w:hAnsi="宋体" w:eastAsia="宋体" w:cs="宋体"/>
                <w:color w:val="auto"/>
                <w:sz w:val="20"/>
                <w:szCs w:val="20"/>
              </w:rPr>
              <w:t>本系统在清水池设置高液位关闭水源及低液位停机报警保护显示装置。淋雨系统设有流量仪控制管路流量，当喷淋流量过小时即自动报警且系统即停止工作；液位控制阀具有自动补水功能，正常补水工作状态有显示功能。</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7.</w:t>
            </w:r>
            <w:r>
              <w:rPr>
                <w:rFonts w:hint="eastAsia" w:ascii="宋体" w:hAnsi="宋体" w:eastAsia="宋体" w:cs="宋体"/>
                <w:color w:val="auto"/>
                <w:sz w:val="20"/>
                <w:szCs w:val="20"/>
              </w:rPr>
              <w:t>电控系统及元件均适应工厂电网上的电压波动和脉冲干扰。整个系统设有短路、断路、失压、欠压和过载等保护措施。淋雨区域所有检测系统和执行系统均采用IP55-IP56的防水等级保护。所有工作电压均采用安全电压保护或漏电系统保护。</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8.</w:t>
            </w:r>
            <w:r>
              <w:rPr>
                <w:rFonts w:hint="eastAsia" w:ascii="宋体" w:hAnsi="宋体" w:eastAsia="宋体" w:cs="宋体"/>
                <w:color w:val="auto"/>
                <w:sz w:val="20"/>
                <w:szCs w:val="20"/>
              </w:rPr>
              <w:t>本系统在室体前、后设有急停开关，如在运行中发生意外情况，便于操作人员给以急停保护。</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9.</w:t>
            </w:r>
            <w:r>
              <w:rPr>
                <w:rFonts w:hint="eastAsia" w:ascii="宋体" w:hAnsi="宋体" w:eastAsia="宋体" w:cs="宋体"/>
                <w:color w:val="auto"/>
                <w:sz w:val="20"/>
                <w:szCs w:val="20"/>
              </w:rPr>
              <w:t>操作者可在车内控制喷淋系统的起停，采用工业遥控器，遥控器配备两个发射器。</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10.</w:t>
            </w:r>
            <w:r>
              <w:rPr>
                <w:rFonts w:hint="eastAsia" w:ascii="宋体" w:hAnsi="宋体" w:eastAsia="宋体" w:cs="宋体"/>
                <w:color w:val="auto"/>
                <w:sz w:val="20"/>
                <w:szCs w:val="20"/>
              </w:rPr>
              <w:t>人机界面选用西门子系列触摸屏，人机界面至少包含以下内容：各动作元件动作状况的监控；异常报警界面；各异常报警的解决方法提示界面；水池液位状况；降水压力和降水强度的监控；PLC程序监控界面；压力、流量报警下限值设置等相关信息。</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11.</w:t>
            </w:r>
            <w:r>
              <w:rPr>
                <w:rFonts w:hint="eastAsia" w:ascii="宋体" w:hAnsi="宋体" w:eastAsia="宋体" w:cs="宋体"/>
                <w:color w:val="auto"/>
                <w:sz w:val="20"/>
                <w:szCs w:val="20"/>
              </w:rPr>
              <w:t>喷淋时间、压力需要通过触摸屏来进行设置。</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6.2 水池液位控制</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（1）水池中设置液位计；</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（2）水池内设置以下六段液位；</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（3）超高、超上限、上限、下限、超下限、超低。</w:t>
            </w:r>
          </w:p>
          <w:p>
            <w:pPr>
              <w:spacing w:line="240" w:lineRule="auto"/>
              <w:ind w:left="2"/>
              <w:rPr>
                <w:rFonts w:hint="eastAsia" w:ascii="宋体" w:hAnsi="宋体" w:eastAsia="宋体" w:cs="宋体"/>
                <w:color w:val="auto"/>
                <w:sz w:val="20"/>
                <w:szCs w:val="20"/>
              </w:rPr>
            </w:pPr>
            <w:r>
              <w:rPr>
                <w:rFonts w:hint="eastAsia" w:ascii="宋体" w:hAnsi="宋体" w:eastAsia="宋体" w:cs="宋体"/>
                <w:color w:val="auto"/>
                <w:sz w:val="20"/>
                <w:szCs w:val="20"/>
              </w:rPr>
              <w:t>（4）水池液位自动保持：工件中水池液面降到设定位置时，自动补水装置的电磁阀打开自动补水到设定的上液位时自动停止。</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（6）水池超高液位保护：各水池水位到超上限时排水泵自动排水保护；</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（7）水池超低液位保护：排水过程中，各水池水位到超下限时排水泵自动停止；</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6.3</w:t>
            </w:r>
            <w:r>
              <w:rPr>
                <w:rFonts w:hint="eastAsia" w:ascii="宋体" w:hAnsi="宋体" w:eastAsia="宋体" w:cs="宋体"/>
                <w:color w:val="auto"/>
                <w:sz w:val="20"/>
                <w:szCs w:val="20"/>
                <w:highlight w:val="none"/>
              </w:rPr>
              <w:t>电气元件采用正</w:t>
            </w:r>
            <w:r>
              <w:rPr>
                <w:rFonts w:hint="eastAsia" w:ascii="宋体" w:hAnsi="宋体" w:eastAsia="宋体" w:cs="宋体"/>
                <w:color w:val="auto"/>
                <w:sz w:val="20"/>
                <w:szCs w:val="20"/>
                <w:highlight w:val="none"/>
                <w:lang w:val="en-US" w:eastAsia="zh-CN"/>
              </w:rPr>
              <w:t>施耐德电气</w:t>
            </w:r>
            <w:r>
              <w:rPr>
                <w:rFonts w:hint="eastAsia" w:ascii="宋体" w:hAnsi="宋体" w:eastAsia="宋体" w:cs="宋体"/>
                <w:color w:val="auto"/>
                <w:sz w:val="20"/>
                <w:szCs w:val="20"/>
              </w:rPr>
              <w:t>，</w:t>
            </w:r>
            <w:r>
              <w:rPr>
                <w:rFonts w:hint="eastAsia" w:ascii="宋体" w:hAnsi="宋体" w:eastAsia="宋体" w:cs="宋体"/>
                <w:color w:val="auto"/>
                <w:sz w:val="20"/>
                <w:szCs w:val="20"/>
                <w:lang w:val="en-US" w:eastAsia="zh-CN"/>
              </w:rPr>
              <w:t>变频器</w:t>
            </w:r>
            <w:r>
              <w:rPr>
                <w:rFonts w:hint="eastAsia" w:ascii="宋体" w:hAnsi="宋体" w:eastAsia="宋体" w:cs="宋体"/>
                <w:sz w:val="20"/>
                <w:szCs w:val="20"/>
                <w:highlight w:val="yellow"/>
                <w:lang w:val="en-US" w:eastAsia="zh-CN"/>
              </w:rPr>
              <w:t>品牌采用ABB，</w:t>
            </w:r>
            <w:r>
              <w:rPr>
                <w:rFonts w:hint="eastAsia" w:ascii="宋体" w:hAnsi="宋体" w:eastAsia="宋体" w:cs="宋体"/>
                <w:color w:val="auto"/>
                <w:sz w:val="20"/>
                <w:szCs w:val="20"/>
              </w:rPr>
              <w:t>控制系统采用</w:t>
            </w:r>
            <w:r>
              <w:rPr>
                <w:rFonts w:hint="eastAsia" w:ascii="宋体" w:hAnsi="宋体" w:eastAsia="宋体" w:cs="宋体"/>
                <w:color w:val="auto"/>
                <w:sz w:val="20"/>
                <w:szCs w:val="20"/>
                <w:lang w:val="en-US" w:eastAsia="zh-CN"/>
              </w:rPr>
              <w:t>西门子</w:t>
            </w:r>
            <w:r>
              <w:rPr>
                <w:rFonts w:hint="eastAsia" w:ascii="宋体" w:hAnsi="宋体" w:eastAsia="宋体" w:cs="宋体"/>
                <w:color w:val="auto"/>
                <w:sz w:val="20"/>
                <w:szCs w:val="20"/>
              </w:rPr>
              <w:t>PLC</w:t>
            </w:r>
            <w:r>
              <w:rPr>
                <w:rFonts w:hint="eastAsia" w:ascii="宋体" w:hAnsi="宋体" w:eastAsia="宋体" w:cs="宋体"/>
                <w:color w:val="auto"/>
                <w:sz w:val="20"/>
                <w:szCs w:val="20"/>
                <w:lang w:val="en-US" w:eastAsia="zh-CN"/>
              </w:rPr>
              <w:t>控制。</w:t>
            </w:r>
            <w:r>
              <w:rPr>
                <w:rFonts w:hint="eastAsia" w:asciiTheme="minorEastAsia" w:hAnsiTheme="minorEastAsia"/>
                <w:highlight w:val="yellow"/>
              </w:rPr>
              <w:t>触摸屏</w:t>
            </w:r>
            <w:r>
              <w:rPr>
                <w:rFonts w:hint="eastAsia" w:asciiTheme="minorEastAsia" w:hAnsiTheme="minorEastAsia"/>
                <w:highlight w:val="yellow"/>
                <w:lang w:val="en-US" w:eastAsia="zh-CN"/>
              </w:rPr>
              <w:t>10寸为国产一线品牌，</w:t>
            </w:r>
            <w:r>
              <w:rPr>
                <w:rFonts w:hint="eastAsia" w:ascii="宋体" w:hAnsi="宋体" w:eastAsia="宋体" w:cs="宋体"/>
                <w:color w:val="auto"/>
                <w:sz w:val="20"/>
                <w:szCs w:val="20"/>
              </w:rPr>
              <w:t>PLC编程采用梯形图编程带中文注释，PLC程序不能设置密码。</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6.4控制箱的防护等级IP54。</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6.5根据系统设计实际情况，考虑总体电源一次电源容量。</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6.6电柜、分线箱、操作站及附件</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（1）电柜、分线箱、操作站及内部附件采用防威图，喷涂颜色为冰灰色，防护等级IP54，安装板为镀锌板。</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（2）电柜高度2000mm（不包含控制柜顶部安装的其他装置）,深度600mm,底座高为200mm。</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rPr>
              <w:t>（3）电控柜按照元器件的不同，分别布置在不同的单元中，电源与主驱动之间、变频器与PLC之间安装带孔的金属隔板。</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（4）电柜采用上进线设计，具备进线口和进线密封措施，电柜内配置进线固定装置。</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（5）各控制柜内配置照明及维修插座220V（万用型）。</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（6）各控制柜内安装板要有不少于20%的预留安装空间。</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rPr>
              <w:t>（7）人机界面采用</w:t>
            </w:r>
            <w:r>
              <w:rPr>
                <w:rFonts w:hint="eastAsia" w:ascii="宋体" w:hAnsi="宋体" w:eastAsia="宋体" w:cs="宋体"/>
                <w:color w:val="auto"/>
                <w:sz w:val="20"/>
                <w:szCs w:val="20"/>
                <w:lang w:val="en-US" w:eastAsia="zh-CN"/>
              </w:rPr>
              <w:t>显示</w:t>
            </w:r>
            <w:r>
              <w:rPr>
                <w:rFonts w:hint="eastAsia" w:ascii="宋体" w:hAnsi="宋体" w:eastAsia="宋体" w:cs="宋体"/>
                <w:color w:val="auto"/>
                <w:sz w:val="20"/>
                <w:szCs w:val="20"/>
              </w:rPr>
              <w:t>触摸屏，屏幕上需显示各喷淋部分压力、喷淋时间等。操作者可通过触摸屏对喷淋系统等进行控制。</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（8）现场安装的控制箱安装牢固，采取防水、防震措施，安装空间便于人员维护。</w:t>
            </w:r>
          </w:p>
          <w:p>
            <w:pPr>
              <w:spacing w:line="240" w:lineRule="auto"/>
              <w:rPr>
                <w:rFonts w:hint="eastAsia" w:ascii="宋体" w:hAnsi="宋体" w:eastAsia="宋体" w:cs="宋体"/>
                <w:color w:val="auto"/>
                <w:kern w:val="0"/>
                <w:sz w:val="20"/>
                <w:szCs w:val="20"/>
              </w:rPr>
            </w:pPr>
            <w:r>
              <w:rPr>
                <w:rFonts w:hint="eastAsia" w:ascii="宋体" w:hAnsi="宋体" w:eastAsia="宋体" w:cs="宋体"/>
                <w:color w:val="auto"/>
                <w:sz w:val="20"/>
                <w:szCs w:val="20"/>
              </w:rPr>
              <w:t>（9）每台柜体中放置资料盒，资料盒为金属制，并与柜体颜色一致。</w:t>
            </w:r>
          </w:p>
          <w:p>
            <w:pPr>
              <w:autoSpaceDE w:val="0"/>
              <w:autoSpaceDN w:val="0"/>
              <w:adjustRightInd w:val="0"/>
              <w:spacing w:line="240" w:lineRule="auto"/>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 xml:space="preserve">            </w:t>
            </w: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3</w:t>
            </w:r>
          </w:p>
        </w:tc>
        <w:tc>
          <w:tcPr>
            <w:tcW w:w="1165" w:type="dxa"/>
            <w:vAlign w:val="center"/>
          </w:tcPr>
          <w:p>
            <w:pPr>
              <w:autoSpaceDE w:val="0"/>
              <w:autoSpaceDN w:val="0"/>
              <w:adjustRightInd w:val="0"/>
              <w:spacing w:line="240" w:lineRule="auto"/>
              <w:rPr>
                <w:rFonts w:hint="eastAsia" w:ascii="宋体" w:hAnsi="宋体" w:eastAsia="宋体" w:cs="宋体"/>
                <w:color w:val="auto"/>
                <w:sz w:val="20"/>
                <w:szCs w:val="20"/>
                <w:highlight w:val="yellow"/>
              </w:rPr>
            </w:pPr>
            <w:r>
              <w:rPr>
                <w:rFonts w:hint="eastAsia" w:ascii="宋体" w:hAnsi="宋体" w:eastAsia="宋体" w:cs="宋体"/>
                <w:b/>
                <w:color w:val="auto"/>
                <w:sz w:val="20"/>
                <w:szCs w:val="20"/>
              </w:rPr>
              <w:t>安全性</w:t>
            </w:r>
          </w:p>
        </w:tc>
        <w:tc>
          <w:tcPr>
            <w:tcW w:w="5970" w:type="dxa"/>
            <w:vAlign w:val="center"/>
          </w:tcPr>
          <w:p>
            <w:pPr>
              <w:widowControl/>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具备试验装置工作异常声光报警装置；</w:t>
            </w:r>
          </w:p>
          <w:p>
            <w:pPr>
              <w:widowControl/>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具备电源缺相、电源异常报警、漏电、短路、断路保险装置；</w:t>
            </w:r>
          </w:p>
          <w:p>
            <w:pPr>
              <w:widowControl/>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3</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具备电机过热、过载报警装置；</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4</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水泵具备超压及超载保护装置。</w:t>
            </w:r>
          </w:p>
          <w:p>
            <w:pPr>
              <w:autoSpaceDE w:val="0"/>
              <w:autoSpaceDN w:val="0"/>
              <w:adjustRightInd w:val="0"/>
              <w:spacing w:line="240" w:lineRule="auto"/>
              <w:jc w:val="left"/>
              <w:rPr>
                <w:rFonts w:hint="eastAsia" w:ascii="宋体" w:hAnsi="宋体" w:eastAsia="宋体" w:cs="宋体"/>
                <w:color w:val="auto"/>
                <w:sz w:val="20"/>
                <w:szCs w:val="20"/>
                <w:highlight w:val="yellow"/>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4</w:t>
            </w:r>
          </w:p>
        </w:tc>
        <w:tc>
          <w:tcPr>
            <w:tcW w:w="1165" w:type="dxa"/>
            <w:vAlign w:val="center"/>
          </w:tcPr>
          <w:p>
            <w:pPr>
              <w:spacing w:line="240" w:lineRule="auto"/>
              <w:rPr>
                <w:rFonts w:hint="eastAsia" w:ascii="宋体" w:hAnsi="宋体" w:eastAsia="宋体" w:cs="宋体"/>
                <w:b/>
                <w:color w:val="auto"/>
                <w:sz w:val="20"/>
                <w:szCs w:val="20"/>
              </w:rPr>
            </w:pPr>
            <w:r>
              <w:rPr>
                <w:rFonts w:hint="eastAsia" w:ascii="宋体" w:hAnsi="宋体" w:eastAsia="宋体" w:cs="宋体"/>
                <w:b/>
                <w:color w:val="auto"/>
                <w:sz w:val="20"/>
                <w:szCs w:val="20"/>
              </w:rPr>
              <w:t>设备附件及零配件</w:t>
            </w:r>
          </w:p>
          <w:p>
            <w:pPr>
              <w:autoSpaceDE w:val="0"/>
              <w:autoSpaceDN w:val="0"/>
              <w:adjustRightInd w:val="0"/>
              <w:spacing w:line="240" w:lineRule="auto"/>
              <w:rPr>
                <w:rFonts w:hint="eastAsia" w:ascii="宋体" w:hAnsi="宋体" w:eastAsia="宋体" w:cs="宋体"/>
                <w:color w:val="auto"/>
                <w:sz w:val="20"/>
                <w:szCs w:val="20"/>
              </w:rPr>
            </w:pPr>
          </w:p>
        </w:tc>
        <w:tc>
          <w:tcPr>
            <w:tcW w:w="5970" w:type="dxa"/>
            <w:vAlign w:val="center"/>
          </w:tcPr>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 提供设备的标准配置</w:t>
            </w:r>
            <w:r>
              <w:rPr>
                <w:rFonts w:hint="eastAsia" w:ascii="宋体" w:hAnsi="宋体" w:eastAsia="宋体" w:cs="宋体"/>
                <w:color w:val="auto"/>
                <w:sz w:val="20"/>
                <w:szCs w:val="20"/>
                <w:lang w:val="en-US" w:eastAsia="zh-CN"/>
              </w:rPr>
              <w:t>机配套喷头备件100个，</w:t>
            </w:r>
            <w:r>
              <w:rPr>
                <w:rFonts w:hint="eastAsia" w:ascii="宋体" w:hAnsi="宋体" w:eastAsia="宋体" w:cs="宋体"/>
                <w:color w:val="auto"/>
                <w:sz w:val="20"/>
                <w:szCs w:val="20"/>
              </w:rPr>
              <w:t>随机标准附件及清单。</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2. 提供设备必须的易损件及常用备件包及清单。</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3. 提供设备操作及维修专用工具清单。</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4. 提供使用说明书、维修手册。</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5. 提供设备电气、主要部件结构示意图。</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 提供其他必要的技术资料。</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7. 提供易损件、配件、备件、专用工具、附件等制造厂家、名称、地址及订货号。</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8. 上述资料各2套，在设备到达买方安装现场时提供给买方。</w:t>
            </w:r>
          </w:p>
          <w:p>
            <w:pPr>
              <w:autoSpaceDE w:val="0"/>
              <w:autoSpaceDN w:val="0"/>
              <w:adjustRightInd w:val="0"/>
              <w:spacing w:line="240" w:lineRule="auto"/>
              <w:rPr>
                <w:rFonts w:hint="eastAsia" w:ascii="宋体" w:hAnsi="宋体" w:eastAsia="宋体" w:cs="宋体"/>
                <w:color w:val="auto"/>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5</w:t>
            </w:r>
          </w:p>
        </w:tc>
        <w:tc>
          <w:tcPr>
            <w:tcW w:w="1165" w:type="dxa"/>
            <w:vAlign w:val="center"/>
          </w:tcPr>
          <w:p>
            <w:pPr>
              <w:autoSpaceDE w:val="0"/>
              <w:autoSpaceDN w:val="0"/>
              <w:adjustRightInd w:val="0"/>
              <w:spacing w:line="240" w:lineRule="auto"/>
              <w:rPr>
                <w:rFonts w:hint="eastAsia" w:ascii="宋体" w:hAnsi="宋体" w:eastAsia="宋体" w:cs="宋体"/>
                <w:color w:val="auto"/>
                <w:sz w:val="20"/>
                <w:szCs w:val="20"/>
              </w:rPr>
            </w:pPr>
            <w:r>
              <w:rPr>
                <w:rFonts w:hint="eastAsia" w:ascii="宋体" w:hAnsi="宋体" w:eastAsia="宋体" w:cs="宋体"/>
                <w:b/>
                <w:color w:val="auto"/>
                <w:sz w:val="20"/>
                <w:szCs w:val="20"/>
              </w:rPr>
              <w:t>技术服务</w:t>
            </w:r>
          </w:p>
        </w:tc>
        <w:tc>
          <w:tcPr>
            <w:tcW w:w="5970" w:type="dxa"/>
            <w:vAlign w:val="center"/>
          </w:tcPr>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 卖方负责设备的安装，调试及售后服务。</w:t>
            </w:r>
          </w:p>
          <w:p>
            <w:pPr>
              <w:spacing w:line="240" w:lineRule="auto"/>
              <w:ind w:left="360" w:hanging="300" w:hangingChars="15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 基础施工及设备安装需在90个工作日内完成，达到买方正常使用要求。</w:t>
            </w:r>
          </w:p>
          <w:p>
            <w:pPr>
              <w:spacing w:line="240" w:lineRule="auto"/>
              <w:ind w:left="360" w:hanging="300" w:hangingChars="15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3</w:t>
            </w:r>
            <w:r>
              <w:rPr>
                <w:rFonts w:hint="eastAsia" w:ascii="宋体" w:hAnsi="宋体" w:eastAsia="宋体" w:cs="宋体"/>
                <w:color w:val="auto"/>
                <w:sz w:val="20"/>
                <w:szCs w:val="20"/>
              </w:rPr>
              <w:t>. 在买方现场，卖方应对买方使用、维修人员进行不少于3天的技术培训，直到能独立操作为止。</w:t>
            </w:r>
          </w:p>
          <w:p>
            <w:pPr>
              <w:spacing w:line="240" w:lineRule="auto"/>
              <w:ind w:left="480" w:hanging="400" w:hangingChars="20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4</w:t>
            </w:r>
            <w:r>
              <w:rPr>
                <w:rFonts w:hint="eastAsia" w:ascii="宋体" w:hAnsi="宋体" w:eastAsia="宋体" w:cs="宋体"/>
                <w:color w:val="auto"/>
                <w:sz w:val="20"/>
                <w:szCs w:val="20"/>
              </w:rPr>
              <w:t>. 设备免费保修期</w:t>
            </w:r>
            <w:r>
              <w:rPr>
                <w:rFonts w:hint="eastAsia" w:ascii="宋体" w:hAnsi="宋体" w:eastAsia="宋体" w:cs="宋体"/>
                <w:b/>
                <w:bCs/>
                <w:color w:val="auto"/>
                <w:sz w:val="20"/>
                <w:szCs w:val="20"/>
                <w:highlight w:val="yellow"/>
                <w:lang w:val="en-US" w:eastAsia="zh-CN"/>
              </w:rPr>
              <w:t>二</w:t>
            </w:r>
            <w:r>
              <w:rPr>
                <w:rFonts w:hint="eastAsia" w:ascii="宋体" w:hAnsi="宋体" w:eastAsia="宋体" w:cs="宋体"/>
                <w:color w:val="auto"/>
                <w:sz w:val="20"/>
                <w:szCs w:val="20"/>
              </w:rPr>
              <w:t>年，从设备验收合格投入使用之日算起，提供终身维修服务。服务应及时有效，卖方在收到买方故障信息后，要求1小时做出响应，之后2个工作日内排除故障。</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5. 设备保修期过后，卖方应向买方终身提供广泛优惠的技术支持及设备备件供应。</w:t>
            </w:r>
          </w:p>
          <w:p>
            <w:pPr>
              <w:autoSpaceDE w:val="0"/>
              <w:autoSpaceDN w:val="0"/>
              <w:adjustRightInd w:val="0"/>
              <w:spacing w:line="240" w:lineRule="auto"/>
              <w:jc w:val="left"/>
              <w:rPr>
                <w:rFonts w:hint="eastAsia" w:ascii="宋体" w:hAnsi="宋体" w:eastAsia="宋体" w:cs="宋体"/>
                <w:color w:val="auto"/>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6</w:t>
            </w:r>
          </w:p>
        </w:tc>
        <w:tc>
          <w:tcPr>
            <w:tcW w:w="1165" w:type="dxa"/>
            <w:vAlign w:val="center"/>
          </w:tcPr>
          <w:p>
            <w:pPr>
              <w:autoSpaceDE w:val="0"/>
              <w:autoSpaceDN w:val="0"/>
              <w:adjustRightInd w:val="0"/>
              <w:spacing w:line="240" w:lineRule="auto"/>
              <w:rPr>
                <w:rFonts w:hint="eastAsia" w:ascii="宋体" w:hAnsi="宋体" w:eastAsia="宋体" w:cs="宋体"/>
                <w:sz w:val="20"/>
                <w:szCs w:val="20"/>
              </w:rPr>
            </w:pPr>
            <w:r>
              <w:rPr>
                <w:rFonts w:hint="eastAsia" w:ascii="宋体" w:hAnsi="宋体" w:eastAsia="宋体" w:cs="宋体"/>
                <w:b/>
                <w:color w:val="000000"/>
                <w:sz w:val="20"/>
                <w:szCs w:val="20"/>
              </w:rPr>
              <w:t>验收标准及验收程序</w:t>
            </w:r>
          </w:p>
        </w:tc>
        <w:tc>
          <w:tcPr>
            <w:tcW w:w="5970" w:type="dxa"/>
            <w:vAlign w:val="center"/>
          </w:tcPr>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1</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预验收基本原则</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乙方发货前，在乙方装备制造所在地由甲方进行预验收，预验收分为现场目视检查、功能检查等。</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2</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乙方在预验收时提供的条件</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装箱单（发货单）；</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提供所有装备系统设计图及相关的技术资料；</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外购件的使用说明书及出厂合格证书；</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3</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预验收内容</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4</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现场目视检查</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甲方要对装备的数量、型号、规格、功能、结构、技术参数及外购配套件的产地、出厂日期等进行目视检查；</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核对所有外购配套件与规定是否一致；</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图纸、技术文件及相关软件资料；</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装备重要部件所使用材料、材质的验收；</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制作尺寸等与设计图纸是否相符；</w:t>
            </w:r>
          </w:p>
          <w:p>
            <w:pPr>
              <w:spacing w:afterLines="50" w:line="240" w:lineRule="auto"/>
              <w:rPr>
                <w:rFonts w:hint="eastAsia" w:ascii="宋体" w:hAnsi="宋体" w:eastAsia="宋体" w:cs="宋体"/>
                <w:color w:val="000000"/>
                <w:sz w:val="20"/>
                <w:szCs w:val="20"/>
              </w:rPr>
            </w:pPr>
            <w:bookmarkStart w:id="0" w:name="_Toc26972667"/>
            <w:bookmarkStart w:id="1" w:name="_Toc435711426"/>
            <w:bookmarkStart w:id="2" w:name="_Toc436313727"/>
            <w:bookmarkStart w:id="3" w:name="_Toc436230456"/>
            <w:r>
              <w:rPr>
                <w:rFonts w:hint="eastAsia" w:ascii="宋体" w:hAnsi="宋体" w:eastAsia="宋体" w:cs="宋体"/>
                <w:color w:val="000000"/>
                <w:sz w:val="20"/>
                <w:szCs w:val="20"/>
              </w:rPr>
              <w:t>5</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装备终验收</w:t>
            </w:r>
            <w:bookmarkEnd w:id="0"/>
            <w:bookmarkEnd w:id="1"/>
            <w:bookmarkEnd w:id="2"/>
            <w:bookmarkEnd w:id="3"/>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5.1装备终验收要按合同技术要求、设计图纸要求、相关的法规和标准要求的内容进行；并逐一核对各系统装备的数量、型号、规格、功能、结构、技术参数等。。</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5.2终验收的内容</w:t>
            </w:r>
          </w:p>
          <w:p>
            <w:pPr>
              <w:numPr>
                <w:ilvl w:val="0"/>
                <w:numId w:val="0"/>
              </w:numPr>
              <w:spacing w:line="240" w:lineRule="auto"/>
              <w:ind w:left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预验收的全部内容；</w:t>
            </w:r>
          </w:p>
          <w:p>
            <w:pPr>
              <w:numPr>
                <w:ilvl w:val="0"/>
                <w:numId w:val="4"/>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质量指标和装备运行技术经济指标验收；</w:t>
            </w:r>
          </w:p>
          <w:p>
            <w:pPr>
              <w:numPr>
                <w:ilvl w:val="0"/>
                <w:numId w:val="4"/>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装备功能及生产节拍检验；</w:t>
            </w:r>
          </w:p>
          <w:p>
            <w:pPr>
              <w:numPr>
                <w:ilvl w:val="0"/>
                <w:numId w:val="4"/>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核对图纸、技术文件及相关软件资料与硬件的一致性。设备安装情况；</w:t>
            </w:r>
          </w:p>
          <w:p>
            <w:pPr>
              <w:numPr>
                <w:ilvl w:val="0"/>
                <w:numId w:val="4"/>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设备运行状况。并检查是否有对其故障问题进行跟踪及解决的记录；</w:t>
            </w:r>
          </w:p>
          <w:p>
            <w:pPr>
              <w:numPr>
                <w:ilvl w:val="0"/>
                <w:numId w:val="4"/>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设备所有测试的书面和图形的报告是否完全；</w:t>
            </w:r>
          </w:p>
          <w:p>
            <w:pPr>
              <w:numPr>
                <w:ilvl w:val="0"/>
                <w:numId w:val="4"/>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现场服务质量；</w:t>
            </w:r>
          </w:p>
          <w:p>
            <w:pPr>
              <w:numPr>
                <w:ilvl w:val="0"/>
                <w:numId w:val="4"/>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提供资料完整情况；</w:t>
            </w:r>
          </w:p>
          <w:p>
            <w:pPr>
              <w:autoSpaceDE w:val="0"/>
              <w:autoSpaceDN w:val="0"/>
              <w:adjustRightInd w:val="0"/>
              <w:spacing w:line="240" w:lineRule="auto"/>
              <w:rPr>
                <w:rFonts w:hint="eastAsia" w:ascii="宋体" w:hAnsi="宋体" w:eastAsia="宋体" w:cs="宋体"/>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7</w:t>
            </w:r>
          </w:p>
        </w:tc>
        <w:tc>
          <w:tcPr>
            <w:tcW w:w="1165" w:type="dxa"/>
            <w:vAlign w:val="center"/>
          </w:tcPr>
          <w:p>
            <w:pPr>
              <w:spacing w:line="240" w:lineRule="auto"/>
              <w:rPr>
                <w:rFonts w:hint="eastAsia" w:ascii="宋体" w:hAnsi="宋体" w:eastAsia="宋体" w:cs="宋体"/>
                <w:b/>
                <w:color w:val="000000"/>
                <w:sz w:val="20"/>
                <w:szCs w:val="20"/>
              </w:rPr>
            </w:pPr>
            <w:r>
              <w:rPr>
                <w:rFonts w:hint="eastAsia" w:ascii="宋体" w:hAnsi="宋体" w:eastAsia="宋体" w:cs="宋体"/>
                <w:b/>
                <w:color w:val="000000"/>
                <w:sz w:val="20"/>
                <w:szCs w:val="20"/>
              </w:rPr>
              <w:t>包装及运输</w:t>
            </w:r>
          </w:p>
          <w:p>
            <w:pPr>
              <w:autoSpaceDE w:val="0"/>
              <w:autoSpaceDN w:val="0"/>
              <w:adjustRightInd w:val="0"/>
              <w:spacing w:line="240" w:lineRule="auto"/>
              <w:rPr>
                <w:rFonts w:hint="eastAsia" w:ascii="宋体" w:hAnsi="宋体" w:eastAsia="宋体" w:cs="宋体"/>
                <w:sz w:val="20"/>
                <w:szCs w:val="20"/>
              </w:rPr>
            </w:pPr>
          </w:p>
        </w:tc>
        <w:tc>
          <w:tcPr>
            <w:tcW w:w="5970" w:type="dxa"/>
            <w:vAlign w:val="center"/>
          </w:tcPr>
          <w:p>
            <w:pPr>
              <w:spacing w:line="240" w:lineRule="auto"/>
              <w:ind w:left="360" w:hanging="300" w:hangingChars="150"/>
              <w:rPr>
                <w:rFonts w:hint="eastAsia" w:ascii="宋体" w:hAnsi="宋体" w:eastAsia="宋体" w:cs="宋体"/>
                <w:color w:val="000000"/>
                <w:sz w:val="20"/>
                <w:szCs w:val="20"/>
              </w:rPr>
            </w:pPr>
            <w:r>
              <w:rPr>
                <w:rFonts w:hint="eastAsia" w:ascii="宋体" w:hAnsi="宋体" w:eastAsia="宋体" w:cs="宋体"/>
                <w:color w:val="000000"/>
                <w:sz w:val="20"/>
                <w:szCs w:val="20"/>
              </w:rPr>
              <w:t>1. 包装安全可靠，适用长途运输、防潮、防锈、防震、防粗暴装卸、适用于陆运和整体吊装，能保证货物安全运到买现场。运输过程中货物发生损坏由卖方负责。</w:t>
            </w:r>
          </w:p>
          <w:p>
            <w:pPr>
              <w:spacing w:line="240" w:lineRule="auto"/>
              <w:rPr>
                <w:rFonts w:hint="eastAsia" w:ascii="宋体" w:hAnsi="宋体" w:eastAsia="宋体" w:cs="宋体"/>
                <w:color w:val="FF0000"/>
                <w:sz w:val="20"/>
                <w:szCs w:val="20"/>
              </w:rPr>
            </w:pPr>
            <w:r>
              <w:rPr>
                <w:rFonts w:hint="eastAsia" w:ascii="宋体" w:hAnsi="宋体" w:eastAsia="宋体" w:cs="宋体"/>
                <w:color w:val="000000"/>
                <w:sz w:val="20"/>
                <w:szCs w:val="20"/>
              </w:rPr>
              <w:t>2．运输方式：卖方负责设备运输，运费（含保险）应单独报价且计入总价内。</w:t>
            </w:r>
          </w:p>
          <w:p>
            <w:pPr>
              <w:autoSpaceDE w:val="0"/>
              <w:autoSpaceDN w:val="0"/>
              <w:adjustRightInd w:val="0"/>
              <w:spacing w:line="240" w:lineRule="auto"/>
              <w:rPr>
                <w:rFonts w:hint="eastAsia" w:ascii="宋体" w:hAnsi="宋体" w:eastAsia="宋体" w:cs="宋体"/>
                <w:sz w:val="20"/>
                <w:szCs w:val="20"/>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8</w:t>
            </w:r>
          </w:p>
        </w:tc>
        <w:tc>
          <w:tcPr>
            <w:tcW w:w="1165" w:type="dxa"/>
            <w:vAlign w:val="center"/>
          </w:tcPr>
          <w:p>
            <w:pPr>
              <w:autoSpaceDE w:val="0"/>
              <w:autoSpaceDN w:val="0"/>
              <w:adjustRightInd w:val="0"/>
              <w:spacing w:line="240" w:lineRule="auto"/>
              <w:rPr>
                <w:rFonts w:hint="eastAsia" w:ascii="宋体" w:hAnsi="宋体" w:eastAsia="宋体" w:cs="宋体"/>
                <w:sz w:val="20"/>
                <w:szCs w:val="20"/>
              </w:rPr>
            </w:pPr>
            <w:r>
              <w:rPr>
                <w:rFonts w:hint="eastAsia" w:ascii="宋体" w:hAnsi="宋体" w:eastAsia="宋体" w:cs="宋体"/>
                <w:b/>
                <w:color w:val="000000"/>
                <w:sz w:val="20"/>
                <w:szCs w:val="20"/>
              </w:rPr>
              <w:t>交货期</w:t>
            </w:r>
          </w:p>
        </w:tc>
        <w:tc>
          <w:tcPr>
            <w:tcW w:w="5970" w:type="dxa"/>
            <w:vAlign w:val="center"/>
          </w:tcPr>
          <w:p>
            <w:pPr>
              <w:autoSpaceDE w:val="0"/>
              <w:autoSpaceDN w:val="0"/>
              <w:adjustRightInd w:val="0"/>
              <w:spacing w:line="240" w:lineRule="auto"/>
              <w:ind w:left="480" w:hanging="400" w:hangingChars="200"/>
              <w:rPr>
                <w:rFonts w:hint="eastAsia" w:ascii="宋体" w:hAnsi="宋体" w:eastAsia="宋体" w:cs="宋体"/>
                <w:sz w:val="20"/>
                <w:szCs w:val="20"/>
              </w:rPr>
            </w:pPr>
            <w:r>
              <w:rPr>
                <w:rFonts w:hint="eastAsia" w:ascii="宋体" w:hAnsi="宋体" w:eastAsia="宋体" w:cs="宋体"/>
                <w:color w:val="000000"/>
                <w:sz w:val="20"/>
                <w:szCs w:val="20"/>
                <w:lang w:val="en-US" w:eastAsia="zh-CN"/>
              </w:rPr>
              <w:t xml:space="preserve">工  </w:t>
            </w:r>
            <w:r>
              <w:rPr>
                <w:rFonts w:hint="eastAsia" w:ascii="宋体" w:hAnsi="宋体" w:eastAsia="宋体" w:cs="宋体"/>
                <w:color w:val="000000"/>
                <w:sz w:val="20"/>
                <w:szCs w:val="20"/>
              </w:rPr>
              <w:t>期：合同生效后90个工作日</w:t>
            </w:r>
            <w:r>
              <w:rPr>
                <w:rFonts w:hint="eastAsia" w:ascii="宋体" w:hAnsi="宋体" w:eastAsia="宋体" w:cs="宋体"/>
                <w:color w:val="000000"/>
                <w:sz w:val="20"/>
                <w:szCs w:val="20"/>
                <w:lang w:val="en-US" w:eastAsia="zh-CN"/>
              </w:rPr>
              <w:t>内，并完成安装</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以买方实际需求为准</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w:t>
            </w: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9</w:t>
            </w:r>
          </w:p>
        </w:tc>
        <w:tc>
          <w:tcPr>
            <w:tcW w:w="1165" w:type="dxa"/>
            <w:vAlign w:val="center"/>
          </w:tcPr>
          <w:p>
            <w:pPr>
              <w:spacing w:line="240" w:lineRule="auto"/>
              <w:rPr>
                <w:rFonts w:hint="eastAsia" w:ascii="宋体" w:hAnsi="宋体" w:eastAsia="宋体" w:cs="宋体"/>
                <w:b/>
                <w:color w:val="0000FF"/>
                <w:sz w:val="20"/>
                <w:szCs w:val="20"/>
                <w:highlight w:val="yellow"/>
              </w:rPr>
            </w:pPr>
            <w:r>
              <w:rPr>
                <w:rFonts w:hint="eastAsia" w:ascii="宋体" w:hAnsi="宋体" w:eastAsia="宋体" w:cs="宋体"/>
                <w:b/>
                <w:color w:val="0000FF"/>
                <w:sz w:val="20"/>
                <w:szCs w:val="20"/>
                <w:highlight w:val="yellow"/>
              </w:rPr>
              <w:t>付款方式</w:t>
            </w:r>
          </w:p>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5970" w:type="dxa"/>
            <w:vAlign w:val="center"/>
          </w:tcPr>
          <w:p>
            <w:pPr>
              <w:numPr>
                <w:ilvl w:val="0"/>
                <w:numId w:val="0"/>
              </w:numPr>
              <w:spacing w:line="240" w:lineRule="auto"/>
              <w:rPr>
                <w:rFonts w:hint="eastAsia" w:ascii="宋体" w:hAnsi="宋体" w:eastAsia="宋体" w:cs="宋体"/>
                <w:color w:val="0000FF"/>
                <w:sz w:val="20"/>
                <w:szCs w:val="20"/>
                <w:highlight w:val="none"/>
              </w:rPr>
            </w:pPr>
            <w:r>
              <w:rPr>
                <w:rFonts w:hint="eastAsia" w:ascii="宋体" w:hAnsi="宋体" w:eastAsia="宋体" w:cs="宋体"/>
                <w:color w:val="0000FF"/>
                <w:sz w:val="20"/>
                <w:szCs w:val="20"/>
                <w:highlight w:val="none"/>
              </w:rPr>
              <w:t>合同签订后，甲方向乙方分批次支付本合同相应设备总价的10%（第一期款），作为定金。甲方应在交货期前20个工作日再付设备总价的</w:t>
            </w:r>
            <w:r>
              <w:rPr>
                <w:rFonts w:hint="eastAsia" w:ascii="宋体" w:hAnsi="宋体" w:eastAsia="宋体" w:cs="宋体"/>
                <w:color w:val="0000FF"/>
                <w:sz w:val="20"/>
                <w:szCs w:val="20"/>
                <w:highlight w:val="none"/>
                <w:lang w:val="en-US" w:eastAsia="zh-CN"/>
              </w:rPr>
              <w:t>50</w:t>
            </w:r>
            <w:r>
              <w:rPr>
                <w:rFonts w:hint="eastAsia" w:ascii="宋体" w:hAnsi="宋体" w:eastAsia="宋体" w:cs="宋体"/>
                <w:color w:val="0000FF"/>
                <w:sz w:val="20"/>
                <w:szCs w:val="20"/>
                <w:highlight w:val="none"/>
              </w:rPr>
              <w:t>%（第二期款）。设备通过验收合格之日后20个工作日内再付设备总价的</w:t>
            </w:r>
            <w:r>
              <w:rPr>
                <w:rFonts w:hint="eastAsia" w:ascii="宋体" w:hAnsi="宋体" w:eastAsia="宋体" w:cs="宋体"/>
                <w:color w:val="0000FF"/>
                <w:sz w:val="20"/>
                <w:szCs w:val="20"/>
                <w:highlight w:val="none"/>
                <w:lang w:val="en-US" w:eastAsia="zh-CN"/>
              </w:rPr>
              <w:t>30</w:t>
            </w:r>
            <w:r>
              <w:rPr>
                <w:rFonts w:hint="eastAsia" w:ascii="宋体" w:hAnsi="宋体" w:eastAsia="宋体" w:cs="宋体"/>
                <w:color w:val="0000FF"/>
                <w:sz w:val="20"/>
                <w:szCs w:val="20"/>
                <w:highlight w:val="none"/>
              </w:rPr>
              <w:t>%（第三期款）</w:t>
            </w:r>
            <w:r>
              <w:rPr>
                <w:rFonts w:hint="eastAsia" w:ascii="宋体" w:hAnsi="宋体" w:eastAsia="宋体" w:cs="宋体"/>
                <w:color w:val="0000FF"/>
                <w:sz w:val="20"/>
                <w:szCs w:val="20"/>
                <w:highlight w:val="none"/>
                <w:lang w:eastAsia="zh-CN"/>
              </w:rPr>
              <w:t>。</w:t>
            </w:r>
            <w:r>
              <w:rPr>
                <w:rFonts w:hint="eastAsia" w:ascii="宋体" w:hAnsi="宋体" w:eastAsia="宋体" w:cs="宋体"/>
                <w:color w:val="0000FF"/>
                <w:sz w:val="20"/>
                <w:szCs w:val="20"/>
                <w:highlight w:val="none"/>
              </w:rPr>
              <w:t>余</w:t>
            </w:r>
            <w:r>
              <w:rPr>
                <w:rFonts w:hint="eastAsia" w:ascii="宋体" w:hAnsi="宋体" w:eastAsia="宋体" w:cs="宋体"/>
                <w:color w:val="0000FF"/>
                <w:sz w:val="20"/>
                <w:szCs w:val="20"/>
                <w:highlight w:val="none"/>
                <w:lang w:val="en-US" w:eastAsia="zh-CN"/>
              </w:rPr>
              <w:t>10</w:t>
            </w:r>
            <w:r>
              <w:rPr>
                <w:rFonts w:hint="eastAsia" w:ascii="宋体" w:hAnsi="宋体" w:eastAsia="宋体" w:cs="宋体"/>
                <w:color w:val="0000FF"/>
                <w:sz w:val="20"/>
                <w:szCs w:val="20"/>
                <w:highlight w:val="none"/>
              </w:rPr>
              <w:t>%（第四期款）作为质保金，</w:t>
            </w:r>
            <w:r>
              <w:rPr>
                <w:rFonts w:hint="eastAsia" w:ascii="宋体" w:hAnsi="宋体" w:eastAsia="宋体" w:cs="宋体"/>
                <w:color w:val="0000FF"/>
                <w:kern w:val="0"/>
                <w:sz w:val="20"/>
                <w:szCs w:val="20"/>
                <w:highlight w:val="none"/>
                <w:lang w:val="en-US" w:eastAsia="zh-CN" w:bidi="ar"/>
              </w:rPr>
              <w:t>质保期满一年付清。</w:t>
            </w:r>
          </w:p>
          <w:p>
            <w:pPr>
              <w:spacing w:line="240" w:lineRule="auto"/>
              <w:jc w:val="both"/>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招标人采用6个月商业承兑汇票支付工程款。</w:t>
            </w: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jc w:val="center"/>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20</w:t>
            </w:r>
          </w:p>
        </w:tc>
        <w:tc>
          <w:tcPr>
            <w:tcW w:w="116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b/>
                <w:color w:val="000000"/>
                <w:sz w:val="22"/>
                <w:szCs w:val="21"/>
              </w:rPr>
              <w:t>投标要求</w:t>
            </w:r>
          </w:p>
        </w:tc>
        <w:tc>
          <w:tcPr>
            <w:tcW w:w="5970" w:type="dxa"/>
            <w:vAlign w:val="center"/>
          </w:tcPr>
          <w:p>
            <w:pPr>
              <w:spacing w:line="240" w:lineRule="auto"/>
              <w:rPr>
                <w:rFonts w:hint="eastAsia"/>
              </w:rPr>
            </w:pPr>
            <w:r>
              <w:rPr>
                <w:rFonts w:hint="eastAsia"/>
              </w:rPr>
              <w:t>1.投标人须仔细阅读招标文件的全部条款，并做出明确响应。</w:t>
            </w:r>
          </w:p>
          <w:p>
            <w:pPr>
              <w:spacing w:line="240" w:lineRule="auto"/>
              <w:rPr>
                <w:rFonts w:hint="eastAsia"/>
              </w:rPr>
            </w:pPr>
            <w:r>
              <w:rPr>
                <w:rFonts w:hint="eastAsia"/>
              </w:rPr>
              <w:t>2.招标文件中带“*”号的条款及要求，投标方必须满足，若有一项不满足将导致废标。</w:t>
            </w:r>
          </w:p>
          <w:p>
            <w:pPr>
              <w:spacing w:line="240" w:lineRule="auto"/>
              <w:rPr>
                <w:rFonts w:hint="eastAsia"/>
              </w:rPr>
            </w:pPr>
            <w:r>
              <w:rPr>
                <w:rFonts w:hint="eastAsia"/>
              </w:rPr>
              <w:t>3.投标报价：</w:t>
            </w:r>
          </w:p>
          <w:p>
            <w:pPr>
              <w:spacing w:line="240" w:lineRule="auto"/>
              <w:rPr>
                <w:rFonts w:hint="eastAsia"/>
              </w:rPr>
            </w:pPr>
            <w:r>
              <w:rPr>
                <w:rFonts w:hint="eastAsia"/>
              </w:rPr>
              <w:t>3.1报价币种：人民币</w:t>
            </w:r>
          </w:p>
          <w:p>
            <w:pPr>
              <w:spacing w:line="240" w:lineRule="auto"/>
              <w:rPr>
                <w:rFonts w:hint="eastAsia"/>
              </w:rPr>
            </w:pPr>
            <w:r>
              <w:rPr>
                <w:rFonts w:hint="eastAsia"/>
              </w:rPr>
              <w:t>3.2对设备进行分项报价，按设备分项填写《投标货物数量、价格表》；</w:t>
            </w:r>
          </w:p>
          <w:p>
            <w:pPr>
              <w:spacing w:line="240" w:lineRule="auto"/>
              <w:rPr>
                <w:rFonts w:hint="eastAsia"/>
              </w:rPr>
            </w:pPr>
            <w:r>
              <w:rPr>
                <w:rFonts w:hint="eastAsia"/>
              </w:rPr>
              <w:t>3.3投标报价为设备到买方价格（应含运保费）。</w:t>
            </w:r>
          </w:p>
          <w:p>
            <w:pPr>
              <w:spacing w:line="240" w:lineRule="auto"/>
              <w:rPr>
                <w:rFonts w:hint="eastAsia"/>
              </w:rPr>
            </w:pPr>
            <w:r>
              <w:rPr>
                <w:rFonts w:hint="eastAsia"/>
              </w:rPr>
              <w:t>4．投标方递交文本投标文件的同时。</w:t>
            </w:r>
          </w:p>
          <w:p>
            <w:pPr>
              <w:spacing w:line="240" w:lineRule="auto"/>
              <w:rPr>
                <w:rFonts w:hint="eastAsia"/>
              </w:rPr>
            </w:pPr>
            <w:r>
              <w:rPr>
                <w:rFonts w:hint="eastAsia"/>
              </w:rPr>
              <w:t>5.招标文件中所提供的国家及相关部门制定标准，为投标产品设计、制造、验收等应该满足的最低标准；</w:t>
            </w:r>
          </w:p>
          <w:p>
            <w:pPr>
              <w:spacing w:line="240" w:lineRule="auto"/>
              <w:rPr>
                <w:rFonts w:hint="eastAsia"/>
                <w:highlight w:val="yellow"/>
              </w:rPr>
            </w:pPr>
            <w:r>
              <w:rPr>
                <w:rFonts w:hint="eastAsia"/>
                <w:highlight w:val="yellow"/>
              </w:rPr>
              <w:t>6.资格与业绩标准</w:t>
            </w:r>
          </w:p>
          <w:p>
            <w:pPr>
              <w:spacing w:line="240" w:lineRule="auto"/>
              <w:rPr>
                <w:rFonts w:hint="eastAsia"/>
                <w:highlight w:val="yellow"/>
              </w:rPr>
            </w:pPr>
            <w:r>
              <w:rPr>
                <w:rFonts w:hint="eastAsia"/>
                <w:highlight w:val="yellow"/>
              </w:rPr>
              <w:t>投标人（制造商）具有大型淋雨间近</w:t>
            </w:r>
            <w:r>
              <w:rPr>
                <w:rFonts w:hint="eastAsia"/>
                <w:highlight w:val="yellow"/>
                <w:lang w:val="en-US" w:eastAsia="zh-CN"/>
              </w:rPr>
              <w:t>3</w:t>
            </w:r>
            <w:r>
              <w:rPr>
                <w:rFonts w:hint="eastAsia"/>
                <w:highlight w:val="yellow"/>
              </w:rPr>
              <w:t>年的相关业绩不少于</w:t>
            </w:r>
            <w:r>
              <w:rPr>
                <w:rFonts w:hint="eastAsia"/>
                <w:highlight w:val="yellow"/>
                <w:lang w:val="en-US" w:eastAsia="zh-CN"/>
              </w:rPr>
              <w:t>2</w:t>
            </w:r>
            <w:r>
              <w:rPr>
                <w:rFonts w:hint="eastAsia"/>
                <w:highlight w:val="yellow"/>
              </w:rPr>
              <w:t>项；</w:t>
            </w:r>
            <w:bookmarkStart w:id="4" w:name="_GoBack"/>
            <w:bookmarkEnd w:id="4"/>
          </w:p>
          <w:p>
            <w:pPr>
              <w:spacing w:line="240" w:lineRule="auto"/>
              <w:rPr>
                <w:rFonts w:hint="eastAsia"/>
                <w:highlight w:val="yellow"/>
              </w:rPr>
            </w:pPr>
            <w:r>
              <w:rPr>
                <w:rFonts w:hint="eastAsia"/>
                <w:highlight w:val="yellow"/>
              </w:rPr>
              <w:t>投标文件中应附有供货合同或中标通知书等证明文件，用以说明具备所投标相关的同类设备制造、调试能力、技术支持的能力。需要提交的相关证明材料：</w:t>
            </w:r>
          </w:p>
          <w:p>
            <w:pPr>
              <w:spacing w:line="240" w:lineRule="auto"/>
              <w:rPr>
                <w:rFonts w:hint="eastAsia"/>
              </w:rPr>
            </w:pPr>
            <w:r>
              <w:rPr>
                <w:rFonts w:hint="eastAsia"/>
                <w:lang w:eastAsia="zh-CN"/>
              </w:rPr>
              <w:t>.</w:t>
            </w:r>
            <w:r>
              <w:rPr>
                <w:rFonts w:hint="eastAsia"/>
              </w:rPr>
              <w:t>“近年完成的类似项目情况表”应附中标通知书或合同协议书的复印件；</w:t>
            </w:r>
          </w:p>
          <w:p>
            <w:pPr>
              <w:spacing w:line="240" w:lineRule="auto"/>
              <w:rPr>
                <w:rFonts w:hint="eastAsia"/>
              </w:rPr>
            </w:pPr>
            <w:r>
              <w:rPr>
                <w:rFonts w:hint="eastAsia"/>
                <w:lang w:val="en-US" w:eastAsia="zh-CN"/>
              </w:rPr>
              <w:t>.</w:t>
            </w:r>
            <w:r>
              <w:rPr>
                <w:rFonts w:hint="eastAsia"/>
              </w:rPr>
              <w:t>“正在供货和新承接的项目情况表”应附中标通知书或合同协议书复印件。</w:t>
            </w:r>
          </w:p>
          <w:p>
            <w:pPr>
              <w:spacing w:line="240" w:lineRule="auto"/>
              <w:rPr>
                <w:rFonts w:hint="eastAsia"/>
              </w:rPr>
            </w:pPr>
            <w:r>
              <w:rPr>
                <w:rFonts w:hint="eastAsia"/>
              </w:rPr>
              <w:t>销售的设备性能可靠，且有良好有效的服务业绩，并且没有出现过重大故障，无不良记录。</w:t>
            </w:r>
          </w:p>
          <w:p>
            <w:pPr>
              <w:spacing w:line="240" w:lineRule="auto"/>
              <w:rPr>
                <w:rFonts w:hint="eastAsia"/>
              </w:rPr>
            </w:pPr>
            <w:r>
              <w:rPr>
                <w:rFonts w:hint="eastAsia"/>
              </w:rPr>
              <w:t>7.投标方竞标前应与买方进行充分沟通，按照买方需求进行详细的技术方案设计。</w:t>
            </w:r>
          </w:p>
          <w:p>
            <w:pPr>
              <w:pStyle w:val="2"/>
              <w:ind w:left="0" w:leftChars="0" w:firstLine="0" w:firstLineChars="0"/>
              <w:rPr>
                <w:rFonts w:hint="default"/>
                <w:lang w:val="en-US" w:eastAsia="zh-CN"/>
              </w:rPr>
            </w:pPr>
            <w:r>
              <w:rPr>
                <w:rFonts w:hint="eastAsia"/>
                <w:lang w:val="en-US" w:eastAsia="zh-CN"/>
              </w:rPr>
              <w:t>8.投标人应缴纳不低于20000元（贰万元）的投标保证金，中标后投标保证金转为履约保证金，合同签订设备安装调试完成后无息返还，未中标单位由招标处安排退款事宜。</w:t>
            </w: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240" w:lineRule="auto"/>
              <w:jc w:val="center"/>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21</w:t>
            </w:r>
          </w:p>
        </w:tc>
        <w:tc>
          <w:tcPr>
            <w:tcW w:w="116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B050"/>
                <w:sz w:val="20"/>
                <w:szCs w:val="20"/>
              </w:rPr>
              <w:t>淋雨设备基础责任划分</w:t>
            </w:r>
          </w:p>
        </w:tc>
        <w:tc>
          <w:tcPr>
            <w:tcW w:w="5970" w:type="dxa"/>
            <w:vAlign w:val="center"/>
          </w:tcPr>
          <w:p>
            <w:pPr>
              <w:spacing w:line="240" w:lineRule="auto"/>
              <w:rPr>
                <w:rFonts w:hint="eastAsia" w:ascii="宋体" w:hAnsi="宋体" w:eastAsia="宋体" w:cs="宋体"/>
                <w:color w:val="00B050"/>
                <w:sz w:val="21"/>
                <w:szCs w:val="21"/>
              </w:rPr>
            </w:pPr>
            <w:r>
              <w:rPr>
                <w:rFonts w:hint="eastAsia" w:ascii="宋体" w:hAnsi="宋体" w:eastAsia="宋体" w:cs="宋体"/>
                <w:color w:val="00B050"/>
                <w:sz w:val="21"/>
                <w:szCs w:val="21"/>
              </w:rPr>
              <w:t>1</w:t>
            </w:r>
            <w:r>
              <w:rPr>
                <w:rFonts w:hint="eastAsia" w:ascii="宋体" w:hAnsi="宋体" w:eastAsia="宋体" w:cs="宋体"/>
                <w:color w:val="00B050"/>
                <w:sz w:val="21"/>
                <w:szCs w:val="21"/>
                <w:lang w:eastAsia="zh-CN"/>
              </w:rPr>
              <w:t>.</w:t>
            </w:r>
            <w:r>
              <w:rPr>
                <w:rFonts w:hint="eastAsia" w:ascii="宋体" w:hAnsi="宋体" w:eastAsia="宋体" w:cs="宋体"/>
                <w:color w:val="00B050"/>
                <w:sz w:val="21"/>
                <w:szCs w:val="21"/>
              </w:rPr>
              <w:t>基础设计图由卖方负责出具，买方负责交由设计院进行施工蓝图翻译；</w:t>
            </w:r>
          </w:p>
          <w:p>
            <w:pPr>
              <w:spacing w:line="240" w:lineRule="auto"/>
              <w:rPr>
                <w:rFonts w:hint="eastAsia" w:ascii="宋体" w:hAnsi="宋体" w:eastAsia="宋体" w:cs="宋体"/>
                <w:color w:val="00B050"/>
                <w:sz w:val="21"/>
                <w:szCs w:val="21"/>
              </w:rPr>
            </w:pPr>
            <w:r>
              <w:rPr>
                <w:rFonts w:hint="eastAsia" w:ascii="宋体" w:hAnsi="宋体" w:eastAsia="宋体" w:cs="宋体"/>
                <w:color w:val="00B050"/>
                <w:sz w:val="21"/>
                <w:szCs w:val="21"/>
              </w:rPr>
              <w:t>2</w:t>
            </w:r>
            <w:r>
              <w:rPr>
                <w:rFonts w:hint="eastAsia" w:ascii="宋体" w:hAnsi="宋体" w:eastAsia="宋体" w:cs="宋体"/>
                <w:color w:val="00B050"/>
                <w:sz w:val="21"/>
                <w:szCs w:val="21"/>
                <w:lang w:eastAsia="zh-CN"/>
              </w:rPr>
              <w:t>.</w:t>
            </w:r>
            <w:r>
              <w:rPr>
                <w:rFonts w:hint="eastAsia" w:ascii="宋体" w:hAnsi="宋体" w:eastAsia="宋体" w:cs="宋体"/>
                <w:color w:val="00B050"/>
                <w:sz w:val="21"/>
                <w:szCs w:val="21"/>
              </w:rPr>
              <w:t>整体淋雨设备基础施工由买方负责，其中基础内涉及到的预埋管材、型材、线管、水池盖板、防撞柱、厂内自来水管的引入、厂内动力线的引入、部分回填（如有需要）、水池到排污井的管路及其它需要预埋的设备等均由买方负责，具体以基础设计图纸为准；</w:t>
            </w:r>
          </w:p>
          <w:p>
            <w:pPr>
              <w:spacing w:line="240" w:lineRule="auto"/>
              <w:rPr>
                <w:rFonts w:hint="eastAsia" w:ascii="宋体" w:hAnsi="宋体" w:eastAsia="宋体" w:cs="宋体"/>
                <w:sz w:val="21"/>
                <w:szCs w:val="21"/>
                <w:lang w:val="en-US" w:eastAsia="zh-CN"/>
              </w:rPr>
            </w:pPr>
            <w:r>
              <w:rPr>
                <w:rFonts w:hint="eastAsia" w:ascii="宋体" w:hAnsi="宋体" w:eastAsia="宋体" w:cs="宋体"/>
                <w:color w:val="00B050"/>
                <w:sz w:val="21"/>
                <w:szCs w:val="21"/>
              </w:rPr>
              <w:t>3</w:t>
            </w:r>
            <w:r>
              <w:rPr>
                <w:rFonts w:hint="eastAsia" w:ascii="宋体" w:hAnsi="宋体" w:eastAsia="宋体" w:cs="宋体"/>
                <w:color w:val="00B050"/>
                <w:sz w:val="21"/>
                <w:szCs w:val="21"/>
                <w:lang w:eastAsia="zh-CN"/>
              </w:rPr>
              <w:t>.</w:t>
            </w:r>
            <w:r>
              <w:rPr>
                <w:rFonts w:hint="eastAsia" w:ascii="宋体" w:hAnsi="宋体" w:eastAsia="宋体" w:cs="宋体"/>
                <w:color w:val="00B050"/>
                <w:sz w:val="21"/>
                <w:szCs w:val="21"/>
              </w:rPr>
              <w:t>卖方负责淋雨整体设备安装调试（基础除外），其中包含：淋雨室体（包含卷帘门）、淋雨框架、控制部分、管路部分、泵区部分、自动补水（基础预留自来水管后面部分）、排污泵（直接对接到预埋排污管位置）、回水口及水池过滤网（直接安装在预留的位置）、主线路（接入到基础图动力线指定的位置）、设备自身使用的电缆线及控制柜等，具体以设备设计会签图纸为准。</w:t>
            </w:r>
          </w:p>
          <w:p>
            <w:pPr>
              <w:spacing w:line="240" w:lineRule="auto"/>
              <w:rPr>
                <w:rFonts w:hint="eastAsia" w:ascii="宋体" w:hAnsi="宋体" w:eastAsia="宋体" w:cs="宋体"/>
                <w:color w:val="000000" w:themeColor="text1"/>
                <w:sz w:val="21"/>
                <w:szCs w:val="21"/>
                <w14:textFill>
                  <w14:solidFill>
                    <w14:schemeClr w14:val="tx1"/>
                  </w14:solidFill>
                </w14:textFill>
              </w:rPr>
            </w:pPr>
          </w:p>
        </w:tc>
        <w:tc>
          <w:tcPr>
            <w:tcW w:w="77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8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40"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bl>
    <w:p>
      <w:pPr>
        <w:spacing w:line="240" w:lineRule="auto"/>
        <w:ind w:firstLine="400" w:firstLineChars="200"/>
        <w:jc w:val="left"/>
        <w:rPr>
          <w:rFonts w:hint="eastAsia" w:ascii="宋体" w:hAnsi="宋体" w:eastAsia="宋体" w:cs="宋体"/>
          <w:sz w:val="20"/>
          <w:szCs w:val="20"/>
        </w:rPr>
      </w:pPr>
      <w:r>
        <w:rPr>
          <w:rFonts w:hint="eastAsia" w:ascii="宋体" w:hAnsi="宋体" w:eastAsia="宋体" w:cs="宋体"/>
          <w:sz w:val="20"/>
          <w:szCs w:val="20"/>
        </w:rPr>
        <w:t>竞标企业投标方案中应包括上述技术要求表格，并逐条注明是否满足，如果不满足，应在“说明”一栏中具体解释或加以见证。</w:t>
      </w:r>
    </w:p>
    <w:p>
      <w:pPr>
        <w:spacing w:line="240" w:lineRule="auto"/>
        <w:rPr>
          <w:rFonts w:hint="eastAsia" w:ascii="宋体" w:hAnsi="宋体" w:eastAsia="宋体" w:cs="宋体"/>
          <w:sz w:val="20"/>
          <w:szCs w:val="20"/>
        </w:rPr>
      </w:pPr>
    </w:p>
    <w:p>
      <w:pPr>
        <w:rPr>
          <w:rFonts w:hint="eastAsia" w:ascii="宋体" w:hAnsi="宋体" w:eastAsia="宋体" w:cs="宋体"/>
          <w:sz w:val="21"/>
          <w:szCs w:val="21"/>
        </w:rPr>
      </w:pPr>
    </w:p>
    <w:p>
      <w:pPr>
        <w:rPr>
          <w:rFonts w:hint="eastAsia" w:ascii="宋体" w:hAnsi="宋体" w:eastAsia="宋体" w:cs="宋体"/>
          <w:sz w:val="21"/>
          <w:szCs w:val="21"/>
        </w:rPr>
      </w:pPr>
    </w:p>
    <w:p>
      <w:pPr>
        <w:pStyle w:val="7"/>
        <w:spacing w:before="0" w:beforeAutospacing="0" w:after="0" w:afterAutospacing="0"/>
        <w:rPr>
          <w:rFonts w:hint="eastAsia" w:ascii="宋体" w:hAnsi="宋体" w:eastAsia="宋体" w:cs="宋体"/>
          <w:b/>
          <w:color w:val="000000"/>
          <w:sz w:val="21"/>
          <w:szCs w:val="21"/>
        </w:rPr>
      </w:pPr>
      <w:r>
        <w:rPr>
          <w:rFonts w:hint="eastAsia" w:ascii="宋体" w:hAnsi="宋体" w:eastAsia="宋体" w:cs="宋体"/>
          <w:sz w:val="21"/>
          <w:szCs w:val="21"/>
        </w:rPr>
        <w:t xml:space="preserve">                                                        </w:t>
      </w:r>
      <w:r>
        <w:rPr>
          <w:rFonts w:hint="eastAsia" w:ascii="宋体" w:hAnsi="宋体" w:eastAsia="宋体" w:cs="宋体"/>
          <w:b/>
          <w:color w:val="000000"/>
          <w:sz w:val="21"/>
          <w:szCs w:val="21"/>
        </w:rPr>
        <w:t>山东一路交通科技有限公司</w:t>
      </w:r>
    </w:p>
    <w:p>
      <w:pPr>
        <w:pStyle w:val="7"/>
        <w:spacing w:before="0" w:beforeAutospacing="0" w:after="0" w:afterAutospacing="0"/>
        <w:rPr>
          <w:rFonts w:cs="Calibri"/>
          <w:b/>
          <w:color w:val="000000"/>
          <w:sz w:val="28"/>
          <w:szCs w:val="28"/>
        </w:rPr>
      </w:pPr>
      <w:r>
        <w:rPr>
          <w:rFonts w:hint="eastAsia" w:ascii="宋体" w:hAnsi="宋体" w:eastAsia="宋体" w:cs="宋体"/>
          <w:b/>
          <w:color w:val="000000"/>
          <w:sz w:val="21"/>
          <w:szCs w:val="21"/>
        </w:rPr>
        <w:t xml:space="preserve">                                                    202</w:t>
      </w:r>
      <w:r>
        <w:rPr>
          <w:rFonts w:hint="eastAsia" w:cs="宋体"/>
          <w:b/>
          <w:color w:val="000000"/>
          <w:sz w:val="21"/>
          <w:szCs w:val="21"/>
          <w:lang w:val="en-US" w:eastAsia="zh-CN"/>
        </w:rPr>
        <w:t>2</w:t>
      </w:r>
      <w:r>
        <w:rPr>
          <w:rFonts w:hint="eastAsia" w:ascii="宋体" w:hAnsi="宋体" w:eastAsia="宋体" w:cs="宋体"/>
          <w:b/>
          <w:color w:val="000000"/>
          <w:sz w:val="21"/>
          <w:szCs w:val="21"/>
        </w:rPr>
        <w:t>-1</w:t>
      </w:r>
      <w:r>
        <w:rPr>
          <w:rFonts w:hint="eastAsia" w:cs="宋体"/>
          <w:b/>
          <w:color w:val="000000"/>
          <w:sz w:val="21"/>
          <w:szCs w:val="21"/>
          <w:lang w:val="en-US" w:eastAsia="zh-CN"/>
        </w:rPr>
        <w:t>1</w:t>
      </w:r>
      <w:r>
        <w:rPr>
          <w:rFonts w:hint="eastAsia" w:ascii="宋体" w:hAnsi="宋体" w:eastAsia="宋体" w:cs="宋体"/>
          <w:b/>
          <w:color w:val="000000"/>
          <w:sz w:val="21"/>
          <w:szCs w:val="21"/>
        </w:rPr>
        <w:t>-8</w:t>
      </w:r>
    </w:p>
    <w:p>
      <w:pPr>
        <w:rPr>
          <w:rFonts w:ascii="新宋体" w:hAnsi="新宋体" w:eastAsia="新宋体"/>
        </w:rPr>
      </w:pPr>
    </w:p>
    <w:sectPr>
      <w:headerReference r:id="rId3" w:type="default"/>
      <w:footerReference r:id="rId4" w:type="default"/>
      <w:pgSz w:w="11906" w:h="16838"/>
      <w:pgMar w:top="720" w:right="720" w:bottom="720" w:left="720" w:header="851" w:footer="128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5000" w:type="pct"/>
      <w:jc w:val="right"/>
      <w:tblLayout w:type="autofit"/>
      <w:tblCellMar>
        <w:top w:w="115" w:type="dxa"/>
        <w:left w:w="115" w:type="dxa"/>
        <w:bottom w:w="115" w:type="dxa"/>
        <w:right w:w="115" w:type="dxa"/>
      </w:tblCellMar>
    </w:tblPr>
    <w:tblGrid>
      <w:gridCol w:w="10161"/>
      <w:gridCol w:w="535"/>
    </w:tblGrid>
    <w:tr>
      <w:trPr>
        <w:jc w:val="right"/>
      </w:trPr>
      <w:tc>
        <w:tcPr>
          <w:tcW w:w="4795" w:type="dxa"/>
          <w:vAlign w:val="center"/>
        </w:tcPr>
        <w:p>
          <w:pPr>
            <w:pStyle w:val="6"/>
            <w:jc w:val="right"/>
            <w:rPr>
              <w:caps/>
              <w:color w:val="000000" w:themeColor="text1"/>
              <w14:textFill>
                <w14:solidFill>
                  <w14:schemeClr w14:val="tx1"/>
                </w14:solidFill>
              </w14:textFill>
            </w:rPr>
          </w:pPr>
        </w:p>
      </w:tc>
      <w:tc>
        <w:tcPr>
          <w:tcW w:w="250" w:type="pct"/>
          <w:shd w:val="clear" w:color="auto" w:fill="ED7D31" w:themeFill="accent2"/>
          <w:vAlign w:val="center"/>
        </w:tcPr>
        <w:p>
          <w:pPr>
            <w:pStyle w:val="5"/>
            <w:jc w:val="center"/>
            <w:rPr>
              <w:color w:val="FFFFFF" w:themeColor="background1"/>
              <w14:textFill>
                <w14:solidFill>
                  <w14:schemeClr w14:val="bg1"/>
                </w14:solidFill>
              </w14:textFill>
            </w:rPr>
          </w:pPr>
          <w:r>
            <w:rPr>
              <w:color w:val="FFFFFF" w:themeColor="background1"/>
              <w14:textFill>
                <w14:solidFill>
                  <w14:schemeClr w14:val="bg1"/>
                </w14:solidFill>
              </w14:textFill>
            </w:rPr>
            <w:fldChar w:fldCharType="begin"/>
          </w:r>
          <w:r>
            <w:rPr>
              <w:color w:val="FFFFFF" w:themeColor="background1"/>
              <w14:textFill>
                <w14:solidFill>
                  <w14:schemeClr w14:val="bg1"/>
                </w14:solidFill>
              </w14:textFill>
            </w:rPr>
            <w:instrText xml:space="preserve">PAGE   \* MERGEFORMAT</w:instrText>
          </w:r>
          <w:r>
            <w:rPr>
              <w:color w:val="FFFFFF" w:themeColor="background1"/>
              <w14:textFill>
                <w14:solidFill>
                  <w14:schemeClr w14:val="bg1"/>
                </w14:solidFill>
              </w14:textFill>
            </w:rPr>
            <w:fldChar w:fldCharType="separate"/>
          </w:r>
          <w:r>
            <w:rPr>
              <w:color w:val="FFFFFF" w:themeColor="background1"/>
              <w:lang w:val="zh-CN"/>
              <w14:textFill>
                <w14:solidFill>
                  <w14:schemeClr w14:val="bg1"/>
                </w14:solidFill>
              </w14:textFill>
            </w:rPr>
            <w:t>8</w:t>
          </w:r>
          <w:r>
            <w:rPr>
              <w:color w:val="FFFFFF" w:themeColor="background1"/>
              <w14:textFill>
                <w14:solidFill>
                  <w14:schemeClr w14:val="bg1"/>
                </w14:solidFill>
              </w14:textFill>
            </w:rPr>
            <w:fldChar w:fldCharType="end"/>
          </w:r>
        </w:p>
      </w:tc>
    </w:tr>
  </w:tbl>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inline distT="0" distB="0" distL="0" distR="0">
          <wp:extent cx="755015" cy="377190"/>
          <wp:effectExtent l="0" t="0" r="6985" b="3810"/>
          <wp:docPr id="2056" name="Picture 6" descr="玲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Picture 6" descr="玲标"/>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834101" cy="416443"/>
                  </a:xfrm>
                  <a:prstGeom prst="rect">
                    <a:avLst/>
                  </a:prstGeom>
                  <a:noFill/>
                  <a:ln>
                    <a:noFill/>
                  </a:ln>
                </pic:spPr>
              </pic:pic>
            </a:graphicData>
          </a:graphic>
        </wp:inline>
      </w:drawing>
    </w:r>
    <w:r>
      <w:ptab w:relativeTo="margin" w:alignment="center" w:leader="none"/>
    </w:r>
    <w:r>
      <w:rPr>
        <w:rFonts w:hint="eastAsia" w:ascii="宋体" w:hAnsi="宋体" w:eastAsia="宋体"/>
        <w:b/>
        <w:sz w:val="36"/>
        <w:szCs w:val="36"/>
        <w:lang w:val="en-US" w:eastAsia="zh-CN"/>
      </w:rPr>
      <w:t>整车淋雨房设备</w:t>
    </w:r>
    <w:r>
      <w:rPr>
        <w:rFonts w:hint="eastAsia" w:ascii="宋体" w:hAnsi="宋体" w:eastAsia="宋体"/>
        <w:b/>
        <w:sz w:val="36"/>
        <w:szCs w:val="36"/>
      </w:rPr>
      <w:t>招标技术要求</w:t>
    </w:r>
    <w:r>
      <w:ptab w:relativeTo="margin" w:alignment="right" w:leader="none"/>
    </w:r>
    <w:r>
      <w:rPr>
        <w:b/>
        <w:sz w:val="21"/>
        <w:szCs w:val="21"/>
      </w:rPr>
      <w:t>GP-202</w:t>
    </w:r>
    <w:r>
      <w:rPr>
        <w:rFonts w:hint="eastAsia"/>
        <w:b/>
        <w:sz w:val="21"/>
        <w:szCs w:val="21"/>
        <w:lang w:val="en-US" w:eastAsia="zh-CN"/>
      </w:rPr>
      <w:t>2</w:t>
    </w:r>
    <w:r>
      <w:rPr>
        <w:b/>
        <w:sz w:val="21"/>
        <w:szCs w:val="21"/>
      </w:rPr>
      <w:t>1</w:t>
    </w:r>
    <w:r>
      <w:rPr>
        <w:rFonts w:hint="eastAsia"/>
        <w:b/>
        <w:sz w:val="21"/>
        <w:szCs w:val="21"/>
        <w:lang w:val="en-US" w:eastAsia="zh-CN"/>
      </w:rPr>
      <w:t>10</w:t>
    </w:r>
    <w:r>
      <w:rPr>
        <w:b/>
        <w:sz w:val="21"/>
        <w:szCs w:val="21"/>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F60E97"/>
    <w:multiLevelType w:val="multilevel"/>
    <w:tmpl w:val="07F60E9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4FF7DC0"/>
    <w:multiLevelType w:val="multilevel"/>
    <w:tmpl w:val="54FF7DC0"/>
    <w:lvl w:ilvl="0" w:tentative="0">
      <w:start w:val="1"/>
      <w:numFmt w:val="decimal"/>
      <w:lvlText w:val="%1."/>
      <w:lvlJc w:val="left"/>
      <w:pPr>
        <w:ind w:left="420" w:hanging="420"/>
      </w:pPr>
      <w:rPr>
        <w:sz w:val="28"/>
        <w:szCs w:val="28"/>
      </w:rPr>
    </w:lvl>
    <w:lvl w:ilvl="1" w:tentative="0">
      <w:start w:val="7"/>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5BA80B59"/>
    <w:multiLevelType w:val="multilevel"/>
    <w:tmpl w:val="5BA80B5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750168B2"/>
    <w:multiLevelType w:val="multilevel"/>
    <w:tmpl w:val="750168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wZTU1NDJlN2QyMTI2MDdhNDA1MDgzZDYzZmI4NzIifQ=="/>
  </w:docVars>
  <w:rsids>
    <w:rsidRoot w:val="008E5580"/>
    <w:rsid w:val="00000865"/>
    <w:rsid w:val="000015A3"/>
    <w:rsid w:val="00004BBC"/>
    <w:rsid w:val="00027219"/>
    <w:rsid w:val="00027580"/>
    <w:rsid w:val="00033FEF"/>
    <w:rsid w:val="00040F84"/>
    <w:rsid w:val="00045364"/>
    <w:rsid w:val="00046F44"/>
    <w:rsid w:val="0006230E"/>
    <w:rsid w:val="000635E9"/>
    <w:rsid w:val="0006461A"/>
    <w:rsid w:val="00073FEC"/>
    <w:rsid w:val="0007523B"/>
    <w:rsid w:val="000752CA"/>
    <w:rsid w:val="000A3D4D"/>
    <w:rsid w:val="000A6B48"/>
    <w:rsid w:val="000A6E2B"/>
    <w:rsid w:val="000A76EB"/>
    <w:rsid w:val="000B325A"/>
    <w:rsid w:val="000B33AD"/>
    <w:rsid w:val="000B6CD9"/>
    <w:rsid w:val="000C25B3"/>
    <w:rsid w:val="000C6FD1"/>
    <w:rsid w:val="000D61DA"/>
    <w:rsid w:val="000D6437"/>
    <w:rsid w:val="000D73EC"/>
    <w:rsid w:val="000E2973"/>
    <w:rsid w:val="000E67F7"/>
    <w:rsid w:val="000F6BCA"/>
    <w:rsid w:val="0010320E"/>
    <w:rsid w:val="001042B2"/>
    <w:rsid w:val="00107EB1"/>
    <w:rsid w:val="001155F3"/>
    <w:rsid w:val="0012122C"/>
    <w:rsid w:val="00126C71"/>
    <w:rsid w:val="00151159"/>
    <w:rsid w:val="001515C6"/>
    <w:rsid w:val="0015398F"/>
    <w:rsid w:val="00155B92"/>
    <w:rsid w:val="0015796A"/>
    <w:rsid w:val="001627E6"/>
    <w:rsid w:val="0016312B"/>
    <w:rsid w:val="00165BCF"/>
    <w:rsid w:val="001662D2"/>
    <w:rsid w:val="001724D0"/>
    <w:rsid w:val="001740F1"/>
    <w:rsid w:val="00185C28"/>
    <w:rsid w:val="00186FCE"/>
    <w:rsid w:val="001A2833"/>
    <w:rsid w:val="001A7602"/>
    <w:rsid w:val="001B206A"/>
    <w:rsid w:val="001B7204"/>
    <w:rsid w:val="001C458F"/>
    <w:rsid w:val="001C51C8"/>
    <w:rsid w:val="001D49D7"/>
    <w:rsid w:val="001E5B85"/>
    <w:rsid w:val="00201031"/>
    <w:rsid w:val="00202DC7"/>
    <w:rsid w:val="00206CF3"/>
    <w:rsid w:val="002209C7"/>
    <w:rsid w:val="0022621F"/>
    <w:rsid w:val="0023524D"/>
    <w:rsid w:val="00250F11"/>
    <w:rsid w:val="002650F3"/>
    <w:rsid w:val="0026543B"/>
    <w:rsid w:val="00265459"/>
    <w:rsid w:val="002753AD"/>
    <w:rsid w:val="00275D16"/>
    <w:rsid w:val="00276A13"/>
    <w:rsid w:val="00280DC2"/>
    <w:rsid w:val="00281A78"/>
    <w:rsid w:val="00281BCC"/>
    <w:rsid w:val="00293596"/>
    <w:rsid w:val="00294F53"/>
    <w:rsid w:val="00296B89"/>
    <w:rsid w:val="00296BB1"/>
    <w:rsid w:val="002A2C33"/>
    <w:rsid w:val="002A3B97"/>
    <w:rsid w:val="002C1AB9"/>
    <w:rsid w:val="002C5B5D"/>
    <w:rsid w:val="002D2D37"/>
    <w:rsid w:val="002D2F57"/>
    <w:rsid w:val="002D3425"/>
    <w:rsid w:val="002D61F7"/>
    <w:rsid w:val="002E1D82"/>
    <w:rsid w:val="002E67CC"/>
    <w:rsid w:val="002F36B3"/>
    <w:rsid w:val="00306C8C"/>
    <w:rsid w:val="003169EC"/>
    <w:rsid w:val="003207AE"/>
    <w:rsid w:val="003220B8"/>
    <w:rsid w:val="003249D3"/>
    <w:rsid w:val="003356ED"/>
    <w:rsid w:val="00340B02"/>
    <w:rsid w:val="00342031"/>
    <w:rsid w:val="00357422"/>
    <w:rsid w:val="003575C8"/>
    <w:rsid w:val="003603C2"/>
    <w:rsid w:val="00361479"/>
    <w:rsid w:val="003707E5"/>
    <w:rsid w:val="00370AAC"/>
    <w:rsid w:val="003737F4"/>
    <w:rsid w:val="00375068"/>
    <w:rsid w:val="00383C84"/>
    <w:rsid w:val="003A41B3"/>
    <w:rsid w:val="003A5E96"/>
    <w:rsid w:val="003B1003"/>
    <w:rsid w:val="003B3499"/>
    <w:rsid w:val="003B78F7"/>
    <w:rsid w:val="003C23A8"/>
    <w:rsid w:val="003C62F3"/>
    <w:rsid w:val="003C7030"/>
    <w:rsid w:val="003D3649"/>
    <w:rsid w:val="003D74E5"/>
    <w:rsid w:val="003D75F1"/>
    <w:rsid w:val="003D7D99"/>
    <w:rsid w:val="003E01A1"/>
    <w:rsid w:val="003E1A63"/>
    <w:rsid w:val="003E673D"/>
    <w:rsid w:val="003F155F"/>
    <w:rsid w:val="003F3508"/>
    <w:rsid w:val="003F42C9"/>
    <w:rsid w:val="003F6DED"/>
    <w:rsid w:val="00403B87"/>
    <w:rsid w:val="00403D59"/>
    <w:rsid w:val="004050AD"/>
    <w:rsid w:val="00413A8A"/>
    <w:rsid w:val="00414A6B"/>
    <w:rsid w:val="0041504A"/>
    <w:rsid w:val="00417986"/>
    <w:rsid w:val="00427A5D"/>
    <w:rsid w:val="00430C37"/>
    <w:rsid w:val="00435465"/>
    <w:rsid w:val="00441787"/>
    <w:rsid w:val="004422AE"/>
    <w:rsid w:val="00442B78"/>
    <w:rsid w:val="00444CEA"/>
    <w:rsid w:val="00455AEF"/>
    <w:rsid w:val="004565E0"/>
    <w:rsid w:val="004601A7"/>
    <w:rsid w:val="00464280"/>
    <w:rsid w:val="00467079"/>
    <w:rsid w:val="00470245"/>
    <w:rsid w:val="00482BB0"/>
    <w:rsid w:val="00485862"/>
    <w:rsid w:val="004859DD"/>
    <w:rsid w:val="00494D73"/>
    <w:rsid w:val="004958D9"/>
    <w:rsid w:val="004A3DA8"/>
    <w:rsid w:val="004A5B62"/>
    <w:rsid w:val="004D06CA"/>
    <w:rsid w:val="004D2181"/>
    <w:rsid w:val="004E2668"/>
    <w:rsid w:val="004E3E60"/>
    <w:rsid w:val="004F02D6"/>
    <w:rsid w:val="004F4D49"/>
    <w:rsid w:val="00504F35"/>
    <w:rsid w:val="00511DD1"/>
    <w:rsid w:val="00513D77"/>
    <w:rsid w:val="00517961"/>
    <w:rsid w:val="00532A51"/>
    <w:rsid w:val="005347AB"/>
    <w:rsid w:val="00535CC3"/>
    <w:rsid w:val="00540EFD"/>
    <w:rsid w:val="00546243"/>
    <w:rsid w:val="00547479"/>
    <w:rsid w:val="0056033F"/>
    <w:rsid w:val="00562A81"/>
    <w:rsid w:val="00563DEF"/>
    <w:rsid w:val="0057215A"/>
    <w:rsid w:val="005802B6"/>
    <w:rsid w:val="00591F72"/>
    <w:rsid w:val="005A58F6"/>
    <w:rsid w:val="005A6BE8"/>
    <w:rsid w:val="005B0EA7"/>
    <w:rsid w:val="005B21CE"/>
    <w:rsid w:val="005C7C60"/>
    <w:rsid w:val="005D0BDF"/>
    <w:rsid w:val="005D2558"/>
    <w:rsid w:val="005D26AF"/>
    <w:rsid w:val="005D27A5"/>
    <w:rsid w:val="005E2E66"/>
    <w:rsid w:val="005E73F7"/>
    <w:rsid w:val="0060359A"/>
    <w:rsid w:val="00606BFE"/>
    <w:rsid w:val="00610018"/>
    <w:rsid w:val="006136CE"/>
    <w:rsid w:val="006179DC"/>
    <w:rsid w:val="00621AB5"/>
    <w:rsid w:val="00631567"/>
    <w:rsid w:val="006328A1"/>
    <w:rsid w:val="006356CE"/>
    <w:rsid w:val="0063706F"/>
    <w:rsid w:val="0064157B"/>
    <w:rsid w:val="00641CB9"/>
    <w:rsid w:val="00645BF8"/>
    <w:rsid w:val="00650454"/>
    <w:rsid w:val="00667005"/>
    <w:rsid w:val="00674DBE"/>
    <w:rsid w:val="006904A6"/>
    <w:rsid w:val="00691C30"/>
    <w:rsid w:val="00693B9D"/>
    <w:rsid w:val="00695411"/>
    <w:rsid w:val="00696BA4"/>
    <w:rsid w:val="006A6D04"/>
    <w:rsid w:val="006B0E7C"/>
    <w:rsid w:val="006B1AA4"/>
    <w:rsid w:val="006B2812"/>
    <w:rsid w:val="006B7822"/>
    <w:rsid w:val="006B79FB"/>
    <w:rsid w:val="006C196A"/>
    <w:rsid w:val="006C7C9A"/>
    <w:rsid w:val="006D182D"/>
    <w:rsid w:val="006D5E37"/>
    <w:rsid w:val="006E1121"/>
    <w:rsid w:val="006E696E"/>
    <w:rsid w:val="0070171F"/>
    <w:rsid w:val="00702A02"/>
    <w:rsid w:val="0070461A"/>
    <w:rsid w:val="00706A1B"/>
    <w:rsid w:val="00727B61"/>
    <w:rsid w:val="00730C1C"/>
    <w:rsid w:val="00735FBC"/>
    <w:rsid w:val="00740017"/>
    <w:rsid w:val="007415ED"/>
    <w:rsid w:val="007426DC"/>
    <w:rsid w:val="0074279D"/>
    <w:rsid w:val="00756D52"/>
    <w:rsid w:val="00761763"/>
    <w:rsid w:val="0077359B"/>
    <w:rsid w:val="00774565"/>
    <w:rsid w:val="007761DC"/>
    <w:rsid w:val="007772AC"/>
    <w:rsid w:val="007825A5"/>
    <w:rsid w:val="00790185"/>
    <w:rsid w:val="007924A5"/>
    <w:rsid w:val="00793434"/>
    <w:rsid w:val="0079581D"/>
    <w:rsid w:val="00796CC2"/>
    <w:rsid w:val="007A425B"/>
    <w:rsid w:val="007A719D"/>
    <w:rsid w:val="007B1B14"/>
    <w:rsid w:val="007B6044"/>
    <w:rsid w:val="007C0FCE"/>
    <w:rsid w:val="007C7E5D"/>
    <w:rsid w:val="007D174D"/>
    <w:rsid w:val="007D5F5C"/>
    <w:rsid w:val="007E12A1"/>
    <w:rsid w:val="007E1BA7"/>
    <w:rsid w:val="007F003C"/>
    <w:rsid w:val="007F465A"/>
    <w:rsid w:val="007F4C54"/>
    <w:rsid w:val="007F6115"/>
    <w:rsid w:val="007F7526"/>
    <w:rsid w:val="00804934"/>
    <w:rsid w:val="00810772"/>
    <w:rsid w:val="00814D4C"/>
    <w:rsid w:val="008170ED"/>
    <w:rsid w:val="00817E42"/>
    <w:rsid w:val="00820E4A"/>
    <w:rsid w:val="008231B4"/>
    <w:rsid w:val="008414AE"/>
    <w:rsid w:val="00843731"/>
    <w:rsid w:val="008513A6"/>
    <w:rsid w:val="00866508"/>
    <w:rsid w:val="00872AF6"/>
    <w:rsid w:val="00872B82"/>
    <w:rsid w:val="0088324D"/>
    <w:rsid w:val="00890F61"/>
    <w:rsid w:val="00896EC7"/>
    <w:rsid w:val="008C08C9"/>
    <w:rsid w:val="008C0D28"/>
    <w:rsid w:val="008C5D4B"/>
    <w:rsid w:val="008E331D"/>
    <w:rsid w:val="008E5580"/>
    <w:rsid w:val="008F37B9"/>
    <w:rsid w:val="008F6EAB"/>
    <w:rsid w:val="00910CBD"/>
    <w:rsid w:val="009271D8"/>
    <w:rsid w:val="00932B57"/>
    <w:rsid w:val="009424B1"/>
    <w:rsid w:val="00946208"/>
    <w:rsid w:val="00950817"/>
    <w:rsid w:val="00951677"/>
    <w:rsid w:val="00957DD5"/>
    <w:rsid w:val="00957EAA"/>
    <w:rsid w:val="00962B1C"/>
    <w:rsid w:val="00967881"/>
    <w:rsid w:val="009727C1"/>
    <w:rsid w:val="00972E69"/>
    <w:rsid w:val="00985BFA"/>
    <w:rsid w:val="00986C9B"/>
    <w:rsid w:val="00987132"/>
    <w:rsid w:val="00987AA4"/>
    <w:rsid w:val="00995754"/>
    <w:rsid w:val="009A08D1"/>
    <w:rsid w:val="009A33EB"/>
    <w:rsid w:val="009B071B"/>
    <w:rsid w:val="009B0F7B"/>
    <w:rsid w:val="009B76A0"/>
    <w:rsid w:val="009C2DA0"/>
    <w:rsid w:val="009D285A"/>
    <w:rsid w:val="009D5488"/>
    <w:rsid w:val="009D7C7F"/>
    <w:rsid w:val="009E1C3A"/>
    <w:rsid w:val="009E3BBE"/>
    <w:rsid w:val="00A13173"/>
    <w:rsid w:val="00A14682"/>
    <w:rsid w:val="00A250F6"/>
    <w:rsid w:val="00A32BEB"/>
    <w:rsid w:val="00A470CE"/>
    <w:rsid w:val="00A5767D"/>
    <w:rsid w:val="00A60186"/>
    <w:rsid w:val="00A6233E"/>
    <w:rsid w:val="00A62478"/>
    <w:rsid w:val="00A6431C"/>
    <w:rsid w:val="00A654C8"/>
    <w:rsid w:val="00A77B9E"/>
    <w:rsid w:val="00A77D1B"/>
    <w:rsid w:val="00A8045B"/>
    <w:rsid w:val="00A82876"/>
    <w:rsid w:val="00A837BA"/>
    <w:rsid w:val="00A86870"/>
    <w:rsid w:val="00A871B7"/>
    <w:rsid w:val="00A877E0"/>
    <w:rsid w:val="00A92BB1"/>
    <w:rsid w:val="00A97B7D"/>
    <w:rsid w:val="00AA1293"/>
    <w:rsid w:val="00AA2A4A"/>
    <w:rsid w:val="00AB2ECE"/>
    <w:rsid w:val="00AB7608"/>
    <w:rsid w:val="00AC1F8C"/>
    <w:rsid w:val="00AC7847"/>
    <w:rsid w:val="00AD0DE1"/>
    <w:rsid w:val="00AD3E39"/>
    <w:rsid w:val="00AE04EA"/>
    <w:rsid w:val="00AF1DCA"/>
    <w:rsid w:val="00AF4917"/>
    <w:rsid w:val="00AF4CB4"/>
    <w:rsid w:val="00AF56CD"/>
    <w:rsid w:val="00B04DE8"/>
    <w:rsid w:val="00B075E7"/>
    <w:rsid w:val="00B20A53"/>
    <w:rsid w:val="00B22E90"/>
    <w:rsid w:val="00B238C7"/>
    <w:rsid w:val="00B27449"/>
    <w:rsid w:val="00B40849"/>
    <w:rsid w:val="00B53134"/>
    <w:rsid w:val="00B60063"/>
    <w:rsid w:val="00B604BE"/>
    <w:rsid w:val="00B6374A"/>
    <w:rsid w:val="00B70A2F"/>
    <w:rsid w:val="00B8025F"/>
    <w:rsid w:val="00B9352B"/>
    <w:rsid w:val="00B95B95"/>
    <w:rsid w:val="00B96D09"/>
    <w:rsid w:val="00B97577"/>
    <w:rsid w:val="00BA10E7"/>
    <w:rsid w:val="00BB0BBD"/>
    <w:rsid w:val="00BB7512"/>
    <w:rsid w:val="00BC3E38"/>
    <w:rsid w:val="00BD3703"/>
    <w:rsid w:val="00BD57AD"/>
    <w:rsid w:val="00BD768E"/>
    <w:rsid w:val="00BD7C3E"/>
    <w:rsid w:val="00BE0211"/>
    <w:rsid w:val="00BE63A3"/>
    <w:rsid w:val="00BF2ADC"/>
    <w:rsid w:val="00BF5860"/>
    <w:rsid w:val="00C050B2"/>
    <w:rsid w:val="00C05F0E"/>
    <w:rsid w:val="00C07C25"/>
    <w:rsid w:val="00C07E40"/>
    <w:rsid w:val="00C14B20"/>
    <w:rsid w:val="00C14F2F"/>
    <w:rsid w:val="00C22906"/>
    <w:rsid w:val="00C31BBF"/>
    <w:rsid w:val="00C31D5E"/>
    <w:rsid w:val="00C40C61"/>
    <w:rsid w:val="00C41B7C"/>
    <w:rsid w:val="00C43231"/>
    <w:rsid w:val="00C466F1"/>
    <w:rsid w:val="00C530BC"/>
    <w:rsid w:val="00C5760D"/>
    <w:rsid w:val="00C668FA"/>
    <w:rsid w:val="00C77598"/>
    <w:rsid w:val="00C86638"/>
    <w:rsid w:val="00C95FD5"/>
    <w:rsid w:val="00CA0A02"/>
    <w:rsid w:val="00CA1712"/>
    <w:rsid w:val="00CA297A"/>
    <w:rsid w:val="00CB0C18"/>
    <w:rsid w:val="00CB63A5"/>
    <w:rsid w:val="00CB6ADF"/>
    <w:rsid w:val="00CC0FEF"/>
    <w:rsid w:val="00CD5273"/>
    <w:rsid w:val="00CE1793"/>
    <w:rsid w:val="00CE5447"/>
    <w:rsid w:val="00CF422C"/>
    <w:rsid w:val="00CF4D52"/>
    <w:rsid w:val="00CF7FE0"/>
    <w:rsid w:val="00D06F04"/>
    <w:rsid w:val="00D11986"/>
    <w:rsid w:val="00D31D50"/>
    <w:rsid w:val="00D33829"/>
    <w:rsid w:val="00D34BE5"/>
    <w:rsid w:val="00D41275"/>
    <w:rsid w:val="00D5016E"/>
    <w:rsid w:val="00D659AD"/>
    <w:rsid w:val="00D75505"/>
    <w:rsid w:val="00D75DB1"/>
    <w:rsid w:val="00D8435F"/>
    <w:rsid w:val="00D85728"/>
    <w:rsid w:val="00D97505"/>
    <w:rsid w:val="00D975C1"/>
    <w:rsid w:val="00DA50E0"/>
    <w:rsid w:val="00DB270D"/>
    <w:rsid w:val="00DB3F6D"/>
    <w:rsid w:val="00DC1FCA"/>
    <w:rsid w:val="00DC3EB4"/>
    <w:rsid w:val="00DD018E"/>
    <w:rsid w:val="00DD064E"/>
    <w:rsid w:val="00DD1562"/>
    <w:rsid w:val="00DD1B50"/>
    <w:rsid w:val="00DD5B82"/>
    <w:rsid w:val="00DE3416"/>
    <w:rsid w:val="00DF050D"/>
    <w:rsid w:val="00DF68B2"/>
    <w:rsid w:val="00E15512"/>
    <w:rsid w:val="00E2049F"/>
    <w:rsid w:val="00E23195"/>
    <w:rsid w:val="00E26C66"/>
    <w:rsid w:val="00E33B49"/>
    <w:rsid w:val="00E475CA"/>
    <w:rsid w:val="00E5250D"/>
    <w:rsid w:val="00E5399C"/>
    <w:rsid w:val="00E56D44"/>
    <w:rsid w:val="00E621BD"/>
    <w:rsid w:val="00E67964"/>
    <w:rsid w:val="00E67F36"/>
    <w:rsid w:val="00E708D3"/>
    <w:rsid w:val="00E71506"/>
    <w:rsid w:val="00E72472"/>
    <w:rsid w:val="00E814A5"/>
    <w:rsid w:val="00E84449"/>
    <w:rsid w:val="00E8647E"/>
    <w:rsid w:val="00E9266D"/>
    <w:rsid w:val="00E97BA0"/>
    <w:rsid w:val="00EB18BB"/>
    <w:rsid w:val="00EB1904"/>
    <w:rsid w:val="00EB63B6"/>
    <w:rsid w:val="00EB7FBA"/>
    <w:rsid w:val="00EC42C8"/>
    <w:rsid w:val="00EC628D"/>
    <w:rsid w:val="00EC7E93"/>
    <w:rsid w:val="00ED11B6"/>
    <w:rsid w:val="00EE0B43"/>
    <w:rsid w:val="00EE2A45"/>
    <w:rsid w:val="00EE3F4D"/>
    <w:rsid w:val="00EF3854"/>
    <w:rsid w:val="00F00347"/>
    <w:rsid w:val="00F027E6"/>
    <w:rsid w:val="00F035E6"/>
    <w:rsid w:val="00F042A0"/>
    <w:rsid w:val="00F04FA5"/>
    <w:rsid w:val="00F16620"/>
    <w:rsid w:val="00F170A1"/>
    <w:rsid w:val="00F227B1"/>
    <w:rsid w:val="00F23086"/>
    <w:rsid w:val="00F23B1F"/>
    <w:rsid w:val="00F23E63"/>
    <w:rsid w:val="00F24074"/>
    <w:rsid w:val="00F24B61"/>
    <w:rsid w:val="00F25FA6"/>
    <w:rsid w:val="00F4372F"/>
    <w:rsid w:val="00F46ADB"/>
    <w:rsid w:val="00F47DFA"/>
    <w:rsid w:val="00F54D66"/>
    <w:rsid w:val="00F62425"/>
    <w:rsid w:val="00F6313B"/>
    <w:rsid w:val="00F67086"/>
    <w:rsid w:val="00F72B28"/>
    <w:rsid w:val="00F749B2"/>
    <w:rsid w:val="00F77F2B"/>
    <w:rsid w:val="00F84A5C"/>
    <w:rsid w:val="00F87858"/>
    <w:rsid w:val="00F963D0"/>
    <w:rsid w:val="00F96AD7"/>
    <w:rsid w:val="00F96FCC"/>
    <w:rsid w:val="00FA049E"/>
    <w:rsid w:val="00FB37C0"/>
    <w:rsid w:val="00FE4E58"/>
    <w:rsid w:val="00FE5121"/>
    <w:rsid w:val="00FE5552"/>
    <w:rsid w:val="00FF0690"/>
    <w:rsid w:val="00FF25B6"/>
    <w:rsid w:val="00FF3B7F"/>
    <w:rsid w:val="03DB0660"/>
    <w:rsid w:val="05144C74"/>
    <w:rsid w:val="053B7608"/>
    <w:rsid w:val="054D35C3"/>
    <w:rsid w:val="079144F3"/>
    <w:rsid w:val="07D72EEC"/>
    <w:rsid w:val="080D690E"/>
    <w:rsid w:val="086D1AA1"/>
    <w:rsid w:val="0CA737D5"/>
    <w:rsid w:val="0FC00678"/>
    <w:rsid w:val="11B331D0"/>
    <w:rsid w:val="12717C2B"/>
    <w:rsid w:val="12F60B6D"/>
    <w:rsid w:val="138A175B"/>
    <w:rsid w:val="147F2942"/>
    <w:rsid w:val="148D505F"/>
    <w:rsid w:val="155344FA"/>
    <w:rsid w:val="15E769F0"/>
    <w:rsid w:val="16EA49EA"/>
    <w:rsid w:val="18F05F7D"/>
    <w:rsid w:val="1C4A43A1"/>
    <w:rsid w:val="1C9F1DD3"/>
    <w:rsid w:val="1CE512D0"/>
    <w:rsid w:val="1F374545"/>
    <w:rsid w:val="2230740D"/>
    <w:rsid w:val="224A0A33"/>
    <w:rsid w:val="22CE3412"/>
    <w:rsid w:val="22F96412"/>
    <w:rsid w:val="24771887"/>
    <w:rsid w:val="251B2213"/>
    <w:rsid w:val="25B74631"/>
    <w:rsid w:val="26180897"/>
    <w:rsid w:val="2A4B17EC"/>
    <w:rsid w:val="2ABE427C"/>
    <w:rsid w:val="32C91500"/>
    <w:rsid w:val="35462556"/>
    <w:rsid w:val="3627310D"/>
    <w:rsid w:val="36AD2304"/>
    <w:rsid w:val="36CA1CEB"/>
    <w:rsid w:val="38523D46"/>
    <w:rsid w:val="3F316DAB"/>
    <w:rsid w:val="3FC512A1"/>
    <w:rsid w:val="43686B13"/>
    <w:rsid w:val="469D52D6"/>
    <w:rsid w:val="495F62C2"/>
    <w:rsid w:val="4B7F2C4C"/>
    <w:rsid w:val="4BB52B12"/>
    <w:rsid w:val="4DAB7A25"/>
    <w:rsid w:val="4E7E368F"/>
    <w:rsid w:val="4F6C798B"/>
    <w:rsid w:val="54052ACA"/>
    <w:rsid w:val="54567035"/>
    <w:rsid w:val="572D0711"/>
    <w:rsid w:val="5D647EF4"/>
    <w:rsid w:val="60ED3098"/>
    <w:rsid w:val="63146828"/>
    <w:rsid w:val="63936E3D"/>
    <w:rsid w:val="63B374DF"/>
    <w:rsid w:val="64137F7D"/>
    <w:rsid w:val="64DE65B6"/>
    <w:rsid w:val="65150451"/>
    <w:rsid w:val="6A79160A"/>
    <w:rsid w:val="6DEF3809"/>
    <w:rsid w:val="6F2A2D4B"/>
    <w:rsid w:val="6FFD3588"/>
    <w:rsid w:val="70E909E4"/>
    <w:rsid w:val="71F15DA2"/>
    <w:rsid w:val="774E334F"/>
    <w:rsid w:val="78C935D5"/>
    <w:rsid w:val="7ACA7190"/>
    <w:rsid w:val="7C296138"/>
    <w:rsid w:val="7DB01666"/>
    <w:rsid w:val="7DE908F9"/>
    <w:rsid w:val="7F7D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9"/>
    <w:qFormat/>
    <w:uiPriority w:val="0"/>
    <w:pPr>
      <w:ind w:firstLine="420" w:firstLineChars="200"/>
    </w:pPr>
    <w:rPr>
      <w:rFonts w:ascii="Times New Roman" w:hAnsi="Times New Roman" w:eastAsia="宋体" w:cs="Times New Roman"/>
      <w:szCs w:val="24"/>
    </w:rPr>
  </w:style>
  <w:style w:type="paragraph" w:styleId="4">
    <w:name w:val="Body Text"/>
    <w:basedOn w:val="1"/>
    <w:link w:val="20"/>
    <w:qFormat/>
    <w:uiPriority w:val="0"/>
    <w:pPr>
      <w:spacing w:after="120"/>
    </w:pPr>
    <w:rPr>
      <w:rFonts w:ascii="Calibri" w:hAnsi="Calibri" w:eastAsia="宋体" w:cs="Times New Roman"/>
      <w:szCs w:val="24"/>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firstLineChars="200"/>
    </w:pPr>
  </w:style>
  <w:style w:type="character" w:customStyle="1" w:styleId="12">
    <w:name w:val="标题 1 字符"/>
    <w:basedOn w:val="10"/>
    <w:link w:val="3"/>
    <w:qFormat/>
    <w:uiPriority w:val="9"/>
    <w:rPr>
      <w:b/>
      <w:bCs/>
      <w:kern w:val="44"/>
      <w:sz w:val="44"/>
      <w:szCs w:val="44"/>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table" w:customStyle="1" w:styleId="15">
    <w:name w:val="Grid Table Light"/>
    <w:basedOn w:val="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16">
    <w:name w:val="二级无"/>
    <w:basedOn w:val="1"/>
    <w:qFormat/>
    <w:uiPriority w:val="0"/>
    <w:pPr>
      <w:widowControl/>
      <w:spacing w:before="50" w:after="50"/>
      <w:ind w:left="1276"/>
      <w:jc w:val="left"/>
      <w:outlineLvl w:val="3"/>
    </w:pPr>
    <w:rPr>
      <w:rFonts w:ascii="宋体" w:hAnsi="Times New Roman" w:eastAsia="宋体" w:cs="Times New Roman"/>
      <w:kern w:val="0"/>
      <w:szCs w:val="21"/>
    </w:rPr>
  </w:style>
  <w:style w:type="character" w:customStyle="1" w:styleId="17">
    <w:name w:val="段 Char"/>
    <w:basedOn w:val="10"/>
    <w:link w:val="18"/>
    <w:qFormat/>
    <w:locked/>
    <w:uiPriority w:val="0"/>
    <w:rPr>
      <w:rFonts w:ascii="宋体" w:hAnsi="宋体" w:eastAsia="宋体"/>
    </w:rPr>
  </w:style>
  <w:style w:type="paragraph" w:customStyle="1" w:styleId="18">
    <w:name w:val="段"/>
    <w:link w:val="17"/>
    <w:qFormat/>
    <w:uiPriority w:val="0"/>
    <w:pPr>
      <w:tabs>
        <w:tab w:val="center" w:pos="4201"/>
        <w:tab w:val="right" w:leader="dot" w:pos="9298"/>
      </w:tabs>
      <w:autoSpaceDE w:val="0"/>
      <w:autoSpaceDN w:val="0"/>
      <w:ind w:firstLine="420" w:firstLineChars="200"/>
      <w:jc w:val="both"/>
    </w:pPr>
    <w:rPr>
      <w:rFonts w:ascii="宋体" w:hAnsi="宋体" w:eastAsia="宋体" w:cstheme="minorBidi"/>
      <w:kern w:val="2"/>
      <w:sz w:val="21"/>
      <w:szCs w:val="22"/>
      <w:lang w:val="en-US" w:eastAsia="zh-CN" w:bidi="ar-SA"/>
    </w:rPr>
  </w:style>
  <w:style w:type="character" w:customStyle="1" w:styleId="19">
    <w:name w:val="正文文本缩进 字符"/>
    <w:basedOn w:val="10"/>
    <w:link w:val="2"/>
    <w:qFormat/>
    <w:uiPriority w:val="0"/>
    <w:rPr>
      <w:rFonts w:ascii="Times New Roman" w:hAnsi="Times New Roman" w:eastAsia="宋体" w:cs="Times New Roman"/>
      <w:szCs w:val="24"/>
    </w:rPr>
  </w:style>
  <w:style w:type="character" w:customStyle="1" w:styleId="20">
    <w:name w:val="正文文本 字符1"/>
    <w:basedOn w:val="10"/>
    <w:link w:val="4"/>
    <w:qFormat/>
    <w:uiPriority w:val="0"/>
    <w:rPr>
      <w:rFonts w:ascii="Calibri" w:hAnsi="Calibri" w:eastAsia="宋体" w:cs="Times New Roman"/>
      <w:szCs w:val="24"/>
    </w:rPr>
  </w:style>
  <w:style w:type="character" w:customStyle="1" w:styleId="21">
    <w:name w:val="正文文本 字符"/>
    <w:basedOn w:val="10"/>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EF59-F579-44FF-9CCD-625870AD56CD}">
  <ds:schemaRefs/>
</ds:datastoreItem>
</file>

<file path=docProps/app.xml><?xml version="1.0" encoding="utf-8"?>
<Properties xmlns="http://schemas.openxmlformats.org/officeDocument/2006/extended-properties" xmlns:vt="http://schemas.openxmlformats.org/officeDocument/2006/docPropsVTypes">
  <Template>Normal</Template>
  <Pages>10</Pages>
  <Words>7331</Words>
  <Characters>7773</Characters>
  <Lines>38</Lines>
  <Paragraphs>10</Paragraphs>
  <TotalTime>169</TotalTime>
  <ScaleCrop>false</ScaleCrop>
  <LinksUpToDate>false</LinksUpToDate>
  <CharactersWithSpaces>7928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2021-04-21T08:12:00Z</dcterms:created>
  <dc:creator>陈东禹(dongyu_chen)</dc:creator>
  <cp:lastModifiedBy>WPS_1174063851</cp:lastModifiedBy>
  <cp:lastPrinted>2022-11-14T01:26:00Z</cp:lastPrinted>
  <dcterms:modified xsi:type="dcterms:W3CDTF">2022-11-25T05:29:47Z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04E1E6EB80D941A9BE3836083594CE01</vt:lpwstr>
  </property>
</Properties>
</file>